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80" w:rsidRDefault="003B7680" w:rsidP="00524D88">
      <w:pPr>
        <w:pStyle w:val="Titolo1"/>
        <w:rPr>
          <w:lang w:val="it-IT"/>
        </w:rPr>
      </w:pPr>
    </w:p>
    <w:p w:rsidR="003B7680" w:rsidRDefault="003B7680" w:rsidP="003B7680">
      <w:pPr>
        <w:tabs>
          <w:tab w:val="left" w:pos="15441"/>
        </w:tabs>
        <w:ind w:left="6946" w:right="49"/>
        <w:jc w:val="both"/>
        <w:outlineLvl w:val="0"/>
        <w:rPr>
          <w:sz w:val="20"/>
          <w:lang w:val="it-IT"/>
        </w:rPr>
      </w:pPr>
    </w:p>
    <w:p w:rsidR="003B7680" w:rsidRDefault="003B7680" w:rsidP="003B7680">
      <w:pPr>
        <w:tabs>
          <w:tab w:val="left" w:pos="15441"/>
        </w:tabs>
        <w:ind w:right="49"/>
        <w:jc w:val="both"/>
        <w:outlineLvl w:val="0"/>
        <w:rPr>
          <w:sz w:val="20"/>
          <w:lang w:val="it-IT"/>
        </w:rPr>
      </w:pPr>
      <w:r>
        <w:rPr>
          <w:sz w:val="20"/>
          <w:lang w:val="it-IT"/>
        </w:rPr>
        <w:t xml:space="preserve">                                                                                         </w:t>
      </w:r>
      <w:r w:rsidRPr="007A3507">
        <w:rPr>
          <w:sz w:val="20"/>
          <w:lang w:val="it-IT"/>
        </w:rPr>
        <w:t>Lombardia/</w:t>
      </w:r>
      <w:r w:rsidR="00265722">
        <w:rPr>
          <w:sz w:val="20"/>
          <w:lang w:val="it-IT"/>
        </w:rPr>
        <w:t>106</w:t>
      </w:r>
      <w:r>
        <w:rPr>
          <w:sz w:val="20"/>
          <w:lang w:val="it-IT"/>
        </w:rPr>
        <w:t>/2014</w:t>
      </w:r>
      <w:r w:rsidRPr="007A3507">
        <w:rPr>
          <w:sz w:val="20"/>
          <w:lang w:val="it-IT"/>
        </w:rPr>
        <w:t>/PAR</w:t>
      </w:r>
    </w:p>
    <w:p w:rsidR="003B7680" w:rsidRDefault="003B7680" w:rsidP="003B7680">
      <w:pPr>
        <w:tabs>
          <w:tab w:val="left" w:pos="15441"/>
        </w:tabs>
        <w:ind w:left="4956" w:right="851"/>
        <w:jc w:val="both"/>
        <w:outlineLvl w:val="0"/>
        <w:rPr>
          <w:sz w:val="20"/>
          <w:lang w:val="it-IT"/>
        </w:rPr>
      </w:pPr>
      <w:r>
        <w:rPr>
          <w:noProof/>
          <w:sz w:val="20"/>
          <w:lang w:val="it-IT"/>
        </w:rPr>
        <w:drawing>
          <wp:anchor distT="0" distB="0" distL="114300" distR="114300" simplePos="0" relativeHeight="251659264" behindDoc="0" locked="0" layoutInCell="1" allowOverlap="1" wp14:anchorId="12A2F62F" wp14:editId="10CB15E2">
            <wp:simplePos x="0" y="0"/>
            <wp:positionH relativeFrom="column">
              <wp:posOffset>2988945</wp:posOffset>
            </wp:positionH>
            <wp:positionV relativeFrom="paragraph">
              <wp:posOffset>51435</wp:posOffset>
            </wp:positionV>
            <wp:extent cx="731520" cy="699770"/>
            <wp:effectExtent l="0" t="0" r="0" b="5080"/>
            <wp:wrapSquare wrapText="lef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699770"/>
                    </a:xfrm>
                    <a:prstGeom prst="rect">
                      <a:avLst/>
                    </a:prstGeom>
                    <a:noFill/>
                  </pic:spPr>
                </pic:pic>
              </a:graphicData>
            </a:graphic>
          </wp:anchor>
        </w:drawing>
      </w:r>
    </w:p>
    <w:p w:rsidR="003B7680" w:rsidRDefault="003B7680" w:rsidP="003B7680">
      <w:pPr>
        <w:tabs>
          <w:tab w:val="left" w:pos="15441"/>
        </w:tabs>
        <w:ind w:left="4956" w:right="851"/>
        <w:jc w:val="both"/>
        <w:outlineLvl w:val="0"/>
        <w:rPr>
          <w:sz w:val="20"/>
          <w:lang w:val="it-IT"/>
        </w:rPr>
      </w:pPr>
    </w:p>
    <w:p w:rsidR="003B7680" w:rsidRDefault="003B7680" w:rsidP="003B7680">
      <w:pPr>
        <w:tabs>
          <w:tab w:val="left" w:pos="15441"/>
        </w:tabs>
        <w:ind w:left="4956" w:right="851"/>
        <w:jc w:val="both"/>
        <w:outlineLvl w:val="0"/>
        <w:rPr>
          <w:sz w:val="20"/>
          <w:lang w:val="it-IT"/>
        </w:rPr>
      </w:pPr>
    </w:p>
    <w:p w:rsidR="003B7680" w:rsidRDefault="003B7680" w:rsidP="003B7680">
      <w:pPr>
        <w:tabs>
          <w:tab w:val="left" w:pos="15441"/>
        </w:tabs>
        <w:ind w:left="4956" w:right="851"/>
        <w:jc w:val="both"/>
        <w:outlineLvl w:val="0"/>
        <w:rPr>
          <w:sz w:val="20"/>
          <w:lang w:val="it-IT"/>
        </w:rPr>
      </w:pPr>
    </w:p>
    <w:p w:rsidR="003B7680" w:rsidRDefault="003B7680" w:rsidP="003B7680">
      <w:pPr>
        <w:tabs>
          <w:tab w:val="left" w:pos="15441"/>
        </w:tabs>
        <w:ind w:left="4956" w:right="851"/>
        <w:jc w:val="both"/>
        <w:outlineLvl w:val="0"/>
        <w:rPr>
          <w:sz w:val="20"/>
          <w:lang w:val="it-IT"/>
        </w:rPr>
      </w:pPr>
    </w:p>
    <w:p w:rsidR="003B7680" w:rsidRPr="007A3507" w:rsidRDefault="003B7680" w:rsidP="003B7680">
      <w:pPr>
        <w:tabs>
          <w:tab w:val="left" w:pos="15441"/>
        </w:tabs>
        <w:ind w:left="4956" w:right="851"/>
        <w:jc w:val="center"/>
        <w:outlineLvl w:val="0"/>
        <w:rPr>
          <w:sz w:val="20"/>
          <w:lang w:val="it-IT"/>
        </w:rPr>
      </w:pPr>
    </w:p>
    <w:p w:rsidR="003B7680" w:rsidRPr="0082537A" w:rsidRDefault="003B7680" w:rsidP="003B7680">
      <w:pPr>
        <w:spacing w:line="360" w:lineRule="auto"/>
        <w:ind w:firstLine="567"/>
        <w:jc w:val="center"/>
        <w:outlineLvl w:val="0"/>
        <w:rPr>
          <w:b/>
          <w:sz w:val="20"/>
          <w:lang w:val="it-IT"/>
        </w:rPr>
      </w:pPr>
      <w:proofErr w:type="gramStart"/>
      <w:r w:rsidRPr="007A3507">
        <w:rPr>
          <w:b/>
          <w:sz w:val="20"/>
          <w:lang w:val="it-IT"/>
        </w:rPr>
        <w:t>REPUBBLICA ITALIANA</w:t>
      </w:r>
      <w:proofErr w:type="gramEnd"/>
    </w:p>
    <w:p w:rsidR="003B7680" w:rsidRDefault="003B7680" w:rsidP="003B7680">
      <w:pPr>
        <w:tabs>
          <w:tab w:val="left" w:pos="0"/>
          <w:tab w:val="left" w:pos="851"/>
          <w:tab w:val="left" w:pos="1702"/>
          <w:tab w:val="left" w:pos="2553"/>
          <w:tab w:val="left" w:pos="3404"/>
          <w:tab w:val="left" w:pos="4255"/>
        </w:tabs>
        <w:spacing w:line="360" w:lineRule="auto"/>
        <w:ind w:firstLine="567"/>
        <w:jc w:val="center"/>
        <w:rPr>
          <w:b/>
          <w:sz w:val="20"/>
          <w:lang w:val="it-IT"/>
        </w:rPr>
      </w:pPr>
      <w:r w:rsidRPr="007A3507">
        <w:rPr>
          <w:b/>
          <w:sz w:val="20"/>
          <w:lang w:val="it-IT"/>
        </w:rPr>
        <w:t>CORTE DEI CONTI</w:t>
      </w:r>
    </w:p>
    <w:p w:rsidR="003B7680" w:rsidRDefault="003B7680" w:rsidP="003B7680">
      <w:pPr>
        <w:tabs>
          <w:tab w:val="left" w:pos="0"/>
          <w:tab w:val="left" w:pos="851"/>
          <w:tab w:val="left" w:pos="1702"/>
          <w:tab w:val="left" w:pos="2553"/>
          <w:tab w:val="left" w:pos="3404"/>
          <w:tab w:val="left" w:pos="4255"/>
        </w:tabs>
        <w:spacing w:line="360" w:lineRule="auto"/>
        <w:ind w:firstLine="567"/>
        <w:jc w:val="center"/>
        <w:rPr>
          <w:b/>
          <w:sz w:val="20"/>
          <w:lang w:val="it-IT"/>
        </w:rPr>
      </w:pPr>
      <w:r w:rsidRPr="007A3507">
        <w:rPr>
          <w:b/>
          <w:sz w:val="20"/>
          <w:lang w:val="it-IT"/>
        </w:rPr>
        <w:t>SEZIONE REGIONALE DI CONTROLLO PER LA</w:t>
      </w:r>
    </w:p>
    <w:p w:rsidR="003B7680" w:rsidRDefault="003B7680" w:rsidP="003B7680">
      <w:pPr>
        <w:tabs>
          <w:tab w:val="left" w:pos="0"/>
          <w:tab w:val="left" w:pos="851"/>
          <w:tab w:val="left" w:pos="1702"/>
          <w:tab w:val="left" w:pos="2553"/>
          <w:tab w:val="left" w:pos="3404"/>
          <w:tab w:val="left" w:pos="4255"/>
        </w:tabs>
        <w:spacing w:line="360" w:lineRule="auto"/>
        <w:ind w:firstLine="567"/>
        <w:jc w:val="center"/>
        <w:rPr>
          <w:sz w:val="20"/>
          <w:lang w:val="it-IT"/>
        </w:rPr>
      </w:pPr>
      <w:r w:rsidRPr="007A3507">
        <w:rPr>
          <w:b/>
          <w:sz w:val="20"/>
          <w:lang w:val="it-IT"/>
        </w:rPr>
        <w:t>LOMBARDIA</w:t>
      </w:r>
    </w:p>
    <w:p w:rsidR="00400C2A" w:rsidRDefault="00400C2A" w:rsidP="003B7680">
      <w:pPr>
        <w:tabs>
          <w:tab w:val="left" w:pos="0"/>
          <w:tab w:val="left" w:pos="851"/>
          <w:tab w:val="left" w:pos="1702"/>
          <w:tab w:val="left" w:pos="2553"/>
          <w:tab w:val="left" w:pos="3404"/>
          <w:tab w:val="left" w:pos="4255"/>
        </w:tabs>
        <w:spacing w:line="360" w:lineRule="auto"/>
        <w:rPr>
          <w:sz w:val="20"/>
          <w:lang w:val="it-IT"/>
        </w:rPr>
      </w:pPr>
    </w:p>
    <w:p w:rsidR="003B7680" w:rsidRDefault="003B7680" w:rsidP="003B7680">
      <w:pPr>
        <w:tabs>
          <w:tab w:val="left" w:pos="0"/>
          <w:tab w:val="left" w:pos="851"/>
          <w:tab w:val="left" w:pos="1702"/>
          <w:tab w:val="left" w:pos="2553"/>
          <w:tab w:val="left" w:pos="3404"/>
          <w:tab w:val="left" w:pos="4255"/>
        </w:tabs>
        <w:spacing w:line="360" w:lineRule="auto"/>
        <w:rPr>
          <w:sz w:val="20"/>
          <w:lang w:val="it-IT"/>
        </w:rPr>
      </w:pPr>
      <w:proofErr w:type="gramStart"/>
      <w:r>
        <w:rPr>
          <w:sz w:val="20"/>
          <w:lang w:val="it-IT"/>
        </w:rPr>
        <w:t>composta</w:t>
      </w:r>
      <w:proofErr w:type="gramEnd"/>
      <w:r>
        <w:rPr>
          <w:sz w:val="20"/>
          <w:lang w:val="it-IT"/>
        </w:rPr>
        <w:t xml:space="preserve"> dai magistrati:</w:t>
      </w:r>
    </w:p>
    <w:p w:rsidR="003B7680" w:rsidRPr="007C3F38" w:rsidRDefault="003B7680" w:rsidP="003B7680">
      <w:pPr>
        <w:spacing w:line="360" w:lineRule="auto"/>
        <w:jc w:val="both"/>
        <w:rPr>
          <w:sz w:val="20"/>
          <w:lang w:val="it-IT"/>
        </w:rPr>
      </w:pPr>
      <w:r w:rsidRPr="007C3F38">
        <w:rPr>
          <w:sz w:val="20"/>
          <w:lang w:val="it-IT"/>
        </w:rPr>
        <w:t xml:space="preserve">dott. </w:t>
      </w:r>
      <w:smartTag w:uri="urn:schemas-microsoft-com:office:smarttags" w:element="PersonName">
        <w:r w:rsidRPr="007C3F38">
          <w:rPr>
            <w:sz w:val="20"/>
            <w:lang w:val="it-IT"/>
          </w:rPr>
          <w:t xml:space="preserve">Nicola </w:t>
        </w:r>
        <w:proofErr w:type="spellStart"/>
        <w:r w:rsidRPr="007C3F38">
          <w:rPr>
            <w:sz w:val="20"/>
            <w:lang w:val="it-IT"/>
          </w:rPr>
          <w:t>Mastropasqua</w:t>
        </w:r>
      </w:smartTag>
      <w:proofErr w:type="spellEnd"/>
      <w:r w:rsidRPr="007C3F38">
        <w:rPr>
          <w:sz w:val="20"/>
          <w:lang w:val="it-IT"/>
        </w:rPr>
        <w:tab/>
      </w:r>
      <w:r w:rsidRPr="007C3F38">
        <w:rPr>
          <w:sz w:val="20"/>
          <w:lang w:val="it-IT"/>
        </w:rPr>
        <w:tab/>
      </w:r>
      <w:r w:rsidRPr="007C3F38">
        <w:rPr>
          <w:sz w:val="20"/>
          <w:lang w:val="it-IT"/>
        </w:rPr>
        <w:tab/>
        <w:t>Presidente</w:t>
      </w:r>
    </w:p>
    <w:p w:rsidR="003B7680" w:rsidRDefault="003B7680" w:rsidP="003B7680">
      <w:pPr>
        <w:spacing w:line="360" w:lineRule="auto"/>
        <w:jc w:val="both"/>
        <w:rPr>
          <w:sz w:val="20"/>
          <w:lang w:val="it-IT"/>
        </w:rPr>
      </w:pPr>
      <w:r w:rsidRPr="007C3F38">
        <w:rPr>
          <w:sz w:val="20"/>
          <w:lang w:val="it-IT"/>
        </w:rPr>
        <w:t>dott. Giuseppe Zola</w:t>
      </w:r>
      <w:r w:rsidRPr="007C3F38">
        <w:rPr>
          <w:sz w:val="20"/>
          <w:lang w:val="it-IT"/>
        </w:rPr>
        <w:tab/>
      </w:r>
      <w:r w:rsidRPr="007C3F38">
        <w:rPr>
          <w:sz w:val="20"/>
          <w:lang w:val="it-IT"/>
        </w:rPr>
        <w:tab/>
      </w:r>
      <w:r w:rsidRPr="007C3F38">
        <w:rPr>
          <w:sz w:val="20"/>
          <w:lang w:val="it-IT"/>
        </w:rPr>
        <w:tab/>
      </w:r>
      <w:r w:rsidRPr="007C3F38">
        <w:rPr>
          <w:sz w:val="20"/>
          <w:lang w:val="it-IT"/>
        </w:rPr>
        <w:tab/>
        <w:t>Consigliere</w:t>
      </w:r>
      <w:r w:rsidRPr="007C3F38">
        <w:rPr>
          <w:sz w:val="20"/>
          <w:lang w:val="it-IT"/>
        </w:rPr>
        <w:cr/>
      </w:r>
      <w:r>
        <w:rPr>
          <w:sz w:val="20"/>
          <w:lang w:val="it-IT"/>
        </w:rPr>
        <w:t xml:space="preserve">dott. Gianluca </w:t>
      </w:r>
      <w:proofErr w:type="spellStart"/>
      <w:r>
        <w:rPr>
          <w:sz w:val="20"/>
          <w:lang w:val="it-IT"/>
        </w:rPr>
        <w:t>Braghò</w:t>
      </w:r>
      <w:proofErr w:type="spellEnd"/>
      <w:r>
        <w:rPr>
          <w:sz w:val="20"/>
          <w:lang w:val="it-IT"/>
        </w:rPr>
        <w:tab/>
      </w:r>
      <w:r>
        <w:rPr>
          <w:sz w:val="20"/>
          <w:lang w:val="it-IT"/>
        </w:rPr>
        <w:tab/>
      </w:r>
      <w:r>
        <w:rPr>
          <w:sz w:val="20"/>
          <w:lang w:val="it-IT"/>
        </w:rPr>
        <w:tab/>
        <w:t>Primo Referendario</w:t>
      </w:r>
    </w:p>
    <w:p w:rsidR="003B7680" w:rsidRDefault="003B7680" w:rsidP="003B7680">
      <w:pPr>
        <w:spacing w:line="360" w:lineRule="auto"/>
        <w:jc w:val="both"/>
        <w:rPr>
          <w:sz w:val="20"/>
          <w:lang w:val="it-IT"/>
        </w:rPr>
      </w:pPr>
      <w:r>
        <w:rPr>
          <w:sz w:val="20"/>
          <w:lang w:val="it-IT"/>
        </w:rPr>
        <w:t>dott. Paolo Bertozzi</w:t>
      </w:r>
      <w:r>
        <w:rPr>
          <w:sz w:val="20"/>
          <w:lang w:val="it-IT"/>
        </w:rPr>
        <w:tab/>
      </w:r>
      <w:r>
        <w:rPr>
          <w:sz w:val="20"/>
          <w:lang w:val="it-IT"/>
        </w:rPr>
        <w:tab/>
      </w:r>
      <w:r>
        <w:rPr>
          <w:sz w:val="20"/>
          <w:lang w:val="it-IT"/>
        </w:rPr>
        <w:tab/>
      </w:r>
      <w:r>
        <w:rPr>
          <w:sz w:val="20"/>
          <w:lang w:val="it-IT"/>
        </w:rPr>
        <w:tab/>
        <w:t>Referendario</w:t>
      </w:r>
    </w:p>
    <w:p w:rsidR="003B7680" w:rsidRDefault="003B7680" w:rsidP="003B7680">
      <w:pPr>
        <w:spacing w:line="360" w:lineRule="auto"/>
        <w:jc w:val="both"/>
        <w:rPr>
          <w:sz w:val="20"/>
          <w:lang w:val="it-IT"/>
        </w:rPr>
      </w:pPr>
      <w:r w:rsidRPr="007C3F38">
        <w:rPr>
          <w:sz w:val="20"/>
          <w:lang w:val="it-IT"/>
        </w:rPr>
        <w:t xml:space="preserve">dott. Andrea </w:t>
      </w:r>
      <w:proofErr w:type="spellStart"/>
      <w:r w:rsidRPr="007C3F38">
        <w:rPr>
          <w:sz w:val="20"/>
          <w:lang w:val="it-IT"/>
        </w:rPr>
        <w:t>Luberti</w:t>
      </w:r>
      <w:proofErr w:type="spellEnd"/>
      <w:r w:rsidRPr="007C3F38">
        <w:rPr>
          <w:sz w:val="20"/>
          <w:lang w:val="it-IT"/>
        </w:rPr>
        <w:tab/>
      </w:r>
      <w:r w:rsidRPr="007C3F38">
        <w:rPr>
          <w:sz w:val="20"/>
          <w:lang w:val="it-IT"/>
        </w:rPr>
        <w:tab/>
      </w:r>
      <w:r w:rsidRPr="007C3F38">
        <w:rPr>
          <w:sz w:val="20"/>
          <w:lang w:val="it-IT"/>
        </w:rPr>
        <w:tab/>
      </w:r>
      <w:r w:rsidRPr="007C3F38">
        <w:rPr>
          <w:sz w:val="20"/>
          <w:lang w:val="it-IT"/>
        </w:rPr>
        <w:tab/>
        <w:t>Referendario</w:t>
      </w:r>
    </w:p>
    <w:p w:rsidR="003B7680" w:rsidRDefault="003B7680" w:rsidP="003B7680">
      <w:pPr>
        <w:spacing w:line="360" w:lineRule="auto"/>
        <w:jc w:val="both"/>
        <w:rPr>
          <w:sz w:val="20"/>
          <w:lang w:val="it-IT"/>
        </w:rPr>
      </w:pPr>
      <w:r>
        <w:rPr>
          <w:sz w:val="20"/>
          <w:lang w:val="it-IT"/>
        </w:rPr>
        <w:t xml:space="preserve">dott. Cristian </w:t>
      </w:r>
      <w:proofErr w:type="spellStart"/>
      <w:r>
        <w:rPr>
          <w:sz w:val="20"/>
          <w:lang w:val="it-IT"/>
        </w:rPr>
        <w:t>Pettinari</w:t>
      </w:r>
      <w:proofErr w:type="spellEnd"/>
      <w:r>
        <w:rPr>
          <w:sz w:val="20"/>
          <w:lang w:val="it-IT"/>
        </w:rPr>
        <w:tab/>
      </w:r>
      <w:r>
        <w:rPr>
          <w:sz w:val="20"/>
          <w:lang w:val="it-IT"/>
        </w:rPr>
        <w:tab/>
      </w:r>
      <w:r>
        <w:rPr>
          <w:sz w:val="20"/>
          <w:lang w:val="it-IT"/>
        </w:rPr>
        <w:tab/>
        <w:t>Referendario</w:t>
      </w:r>
    </w:p>
    <w:p w:rsidR="003B7680" w:rsidRDefault="003B7680" w:rsidP="003B7680">
      <w:pPr>
        <w:spacing w:line="360" w:lineRule="auto"/>
        <w:jc w:val="both"/>
        <w:rPr>
          <w:sz w:val="20"/>
          <w:lang w:val="it-IT"/>
        </w:rPr>
      </w:pPr>
      <w:r>
        <w:rPr>
          <w:sz w:val="20"/>
          <w:lang w:val="it-IT"/>
        </w:rPr>
        <w:t xml:space="preserve">dott. </w:t>
      </w:r>
      <w:proofErr w:type="spellStart"/>
      <w:r>
        <w:rPr>
          <w:sz w:val="20"/>
          <w:lang w:val="it-IT"/>
        </w:rPr>
        <w:t>ssa</w:t>
      </w:r>
      <w:proofErr w:type="spellEnd"/>
      <w:r>
        <w:rPr>
          <w:sz w:val="20"/>
          <w:lang w:val="it-IT"/>
        </w:rPr>
        <w:t xml:space="preserve"> Marta D’Auria</w:t>
      </w:r>
      <w:r>
        <w:rPr>
          <w:sz w:val="20"/>
          <w:lang w:val="it-IT"/>
        </w:rPr>
        <w:tab/>
      </w:r>
      <w:r>
        <w:rPr>
          <w:sz w:val="20"/>
          <w:lang w:val="it-IT"/>
        </w:rPr>
        <w:tab/>
      </w:r>
      <w:r>
        <w:rPr>
          <w:sz w:val="20"/>
          <w:lang w:val="it-IT"/>
        </w:rPr>
        <w:tab/>
        <w:t>Referendario</w:t>
      </w:r>
    </w:p>
    <w:p w:rsidR="003B7680" w:rsidRDefault="003B7680" w:rsidP="003B7680">
      <w:pPr>
        <w:spacing w:line="360" w:lineRule="auto"/>
        <w:jc w:val="both"/>
        <w:rPr>
          <w:sz w:val="20"/>
          <w:lang w:val="it-IT"/>
        </w:rPr>
      </w:pPr>
      <w:r>
        <w:rPr>
          <w:sz w:val="20"/>
          <w:lang w:val="it-IT"/>
        </w:rPr>
        <w:t>dott. Giovanni Guida</w:t>
      </w:r>
      <w:r>
        <w:rPr>
          <w:sz w:val="20"/>
          <w:lang w:val="it-IT"/>
        </w:rPr>
        <w:tab/>
      </w:r>
      <w:r>
        <w:rPr>
          <w:sz w:val="20"/>
          <w:lang w:val="it-IT"/>
        </w:rPr>
        <w:tab/>
      </w:r>
      <w:r>
        <w:rPr>
          <w:sz w:val="20"/>
          <w:lang w:val="it-IT"/>
        </w:rPr>
        <w:tab/>
      </w:r>
      <w:r>
        <w:rPr>
          <w:sz w:val="20"/>
          <w:lang w:val="it-IT"/>
        </w:rPr>
        <w:tab/>
        <w:t>Referendario</w:t>
      </w:r>
    </w:p>
    <w:p w:rsidR="003B7680" w:rsidRDefault="003B7680" w:rsidP="003B7680">
      <w:pPr>
        <w:spacing w:line="360" w:lineRule="auto"/>
        <w:jc w:val="both"/>
        <w:rPr>
          <w:sz w:val="20"/>
          <w:lang w:val="it-IT"/>
        </w:rPr>
      </w:pPr>
      <w:proofErr w:type="gramStart"/>
      <w:r>
        <w:rPr>
          <w:sz w:val="20"/>
          <w:lang w:val="it-IT"/>
        </w:rPr>
        <w:t>dott.ssa</w:t>
      </w:r>
      <w:proofErr w:type="gramEnd"/>
      <w:r>
        <w:rPr>
          <w:sz w:val="20"/>
          <w:lang w:val="it-IT"/>
        </w:rPr>
        <w:t xml:space="preserve"> Sara Raffaella Molinaro</w:t>
      </w:r>
      <w:r>
        <w:rPr>
          <w:sz w:val="20"/>
          <w:lang w:val="it-IT"/>
        </w:rPr>
        <w:tab/>
      </w:r>
      <w:r>
        <w:rPr>
          <w:sz w:val="20"/>
          <w:lang w:val="it-IT"/>
        </w:rPr>
        <w:tab/>
        <w:t>Referendario (relatore)</w:t>
      </w:r>
    </w:p>
    <w:p w:rsidR="00400C2A" w:rsidRDefault="00400C2A" w:rsidP="003B7680">
      <w:pPr>
        <w:spacing w:line="360" w:lineRule="auto"/>
        <w:jc w:val="both"/>
        <w:rPr>
          <w:sz w:val="20"/>
          <w:lang w:val="it-IT"/>
        </w:rPr>
      </w:pPr>
    </w:p>
    <w:p w:rsidR="003B7680" w:rsidRDefault="003B7680" w:rsidP="003B7680">
      <w:pPr>
        <w:spacing w:line="360" w:lineRule="auto"/>
        <w:ind w:firstLine="567"/>
        <w:jc w:val="center"/>
        <w:rPr>
          <w:b/>
          <w:sz w:val="20"/>
          <w:lang w:val="it-IT"/>
        </w:rPr>
      </w:pPr>
      <w:proofErr w:type="gramStart"/>
      <w:r w:rsidRPr="000F4E87">
        <w:rPr>
          <w:b/>
          <w:sz w:val="20"/>
          <w:lang w:val="it-IT"/>
        </w:rPr>
        <w:t>nell</w:t>
      </w:r>
      <w:r>
        <w:rPr>
          <w:b/>
          <w:sz w:val="20"/>
          <w:lang w:val="it-IT"/>
        </w:rPr>
        <w:t>a</w:t>
      </w:r>
      <w:proofErr w:type="gramEnd"/>
      <w:r>
        <w:rPr>
          <w:b/>
          <w:sz w:val="20"/>
          <w:lang w:val="it-IT"/>
        </w:rPr>
        <w:t xml:space="preserve"> camera di consiglio </w:t>
      </w:r>
      <w:r w:rsidRPr="000F4E87">
        <w:rPr>
          <w:b/>
          <w:sz w:val="20"/>
          <w:lang w:val="it-IT"/>
        </w:rPr>
        <w:t xml:space="preserve">del </w:t>
      </w:r>
      <w:r w:rsidR="00CA0026">
        <w:rPr>
          <w:b/>
          <w:sz w:val="20"/>
          <w:lang w:val="it-IT"/>
        </w:rPr>
        <w:t>6 marzo</w:t>
      </w:r>
      <w:r>
        <w:rPr>
          <w:b/>
          <w:sz w:val="20"/>
          <w:lang w:val="it-IT"/>
        </w:rPr>
        <w:t xml:space="preserve"> 2014</w:t>
      </w:r>
    </w:p>
    <w:p w:rsidR="00727C3E" w:rsidRPr="000F4E87" w:rsidRDefault="00727C3E" w:rsidP="003B7680">
      <w:pPr>
        <w:spacing w:line="360" w:lineRule="auto"/>
        <w:ind w:firstLine="567"/>
        <w:jc w:val="center"/>
        <w:rPr>
          <w:sz w:val="20"/>
          <w:lang w:val="it-IT"/>
        </w:rPr>
      </w:pPr>
    </w:p>
    <w:p w:rsidR="003B7680" w:rsidRDefault="003B7680" w:rsidP="003B7680">
      <w:pPr>
        <w:spacing w:line="360" w:lineRule="auto"/>
        <w:jc w:val="both"/>
        <w:rPr>
          <w:sz w:val="20"/>
          <w:lang w:val="it-IT"/>
        </w:rPr>
      </w:pPr>
      <w:proofErr w:type="gramStart"/>
      <w:r w:rsidRPr="007A3507">
        <w:rPr>
          <w:sz w:val="20"/>
          <w:lang w:val="it-IT"/>
        </w:rPr>
        <w:t>Visto il testo unico delle leggi sulla Corte dei conti, approvato con il regio decreto 12 luglio 1934, n. 1214, e successive modificazioni;</w:t>
      </w:r>
      <w:proofErr w:type="gramEnd"/>
    </w:p>
    <w:p w:rsidR="003B7680" w:rsidRDefault="003B7680" w:rsidP="003B7680">
      <w:pPr>
        <w:spacing w:line="360" w:lineRule="auto"/>
        <w:jc w:val="both"/>
        <w:rPr>
          <w:sz w:val="20"/>
          <w:lang w:val="it-IT"/>
        </w:rPr>
      </w:pPr>
      <w:r w:rsidRPr="007A3507">
        <w:rPr>
          <w:sz w:val="20"/>
          <w:lang w:val="it-IT"/>
        </w:rPr>
        <w:t>Vista la legge 21 marzo 1953, n. 161;</w:t>
      </w:r>
      <w:r w:rsidRPr="007A3507">
        <w:rPr>
          <w:sz w:val="20"/>
          <w:lang w:val="it-IT"/>
        </w:rPr>
        <w:cr/>
        <w:t>Vista la legge 14 gennaio 1994, n. 20;</w:t>
      </w:r>
      <w:r w:rsidRPr="007A3507">
        <w:rPr>
          <w:sz w:val="20"/>
          <w:lang w:val="it-IT"/>
        </w:rPr>
        <w:cr/>
        <w:t xml:space="preserve">Vista la deliberazione delle Sezioni riunite della Corte </w:t>
      </w:r>
      <w:proofErr w:type="gramStart"/>
      <w:r w:rsidRPr="007A3507">
        <w:rPr>
          <w:sz w:val="20"/>
          <w:lang w:val="it-IT"/>
        </w:rPr>
        <w:t>dei</w:t>
      </w:r>
      <w:proofErr w:type="gramEnd"/>
      <w:r w:rsidRPr="007A3507">
        <w:rPr>
          <w:sz w:val="20"/>
          <w:lang w:val="it-IT"/>
        </w:rPr>
        <w:t xml:space="preserve"> conti n. 14/2000 del 16 giugno 2000, che ha approvato il regolamento per l’organizzazione delle funzioni di controllo della Corte dei conti, modificata con le deliberazioni delle Sezioni riunite n. 2 del 3 luglio 2003 e n. 1 del 17 dicembre 2004;</w:t>
      </w:r>
      <w:r w:rsidRPr="007A3507">
        <w:rPr>
          <w:sz w:val="20"/>
          <w:lang w:val="it-IT"/>
        </w:rPr>
        <w:cr/>
      </w:r>
      <w:proofErr w:type="gramStart"/>
      <w:r w:rsidRPr="007A3507">
        <w:rPr>
          <w:sz w:val="20"/>
          <w:lang w:val="it-IT"/>
        </w:rPr>
        <w:t>Visto il decreto legislativo 18 agosto 2000, n. 267</w:t>
      </w:r>
      <w:r>
        <w:rPr>
          <w:sz w:val="20"/>
          <w:lang w:val="it-IT"/>
        </w:rPr>
        <w:t>,</w:t>
      </w:r>
      <w:r w:rsidRPr="007A3507">
        <w:rPr>
          <w:sz w:val="20"/>
          <w:lang w:val="it-IT"/>
        </w:rPr>
        <w:t xml:space="preserve"> recante il Testo unico delle leggi sull’ordinamento degli enti locali;</w:t>
      </w:r>
      <w:proofErr w:type="gramEnd"/>
      <w:r w:rsidRPr="007A3507">
        <w:rPr>
          <w:sz w:val="20"/>
          <w:lang w:val="it-IT"/>
        </w:rPr>
        <w:cr/>
        <w:t>Vista la legge 5 giugno 2003, n. 131;</w:t>
      </w:r>
      <w:r w:rsidRPr="007A3507">
        <w:rPr>
          <w:sz w:val="20"/>
          <w:lang w:val="it-IT"/>
        </w:rPr>
        <w:cr/>
        <w:t>Vista la deliberazione n. 1/pareri/2004 del 3</w:t>
      </w:r>
      <w:r>
        <w:rPr>
          <w:sz w:val="20"/>
          <w:lang w:val="it-IT"/>
        </w:rPr>
        <w:t xml:space="preserve"> novembre </w:t>
      </w:r>
      <w:r w:rsidRPr="007A3507">
        <w:rPr>
          <w:sz w:val="20"/>
          <w:lang w:val="it-IT"/>
        </w:rPr>
        <w:t xml:space="preserve">2004 con la quale </w:t>
      </w:r>
      <w:smartTag w:uri="urn:schemas-microsoft-com:office:smarttags" w:element="PersonName">
        <w:smartTagPr>
          <w:attr w:name="ProductID" w:val="la Sezione"/>
        </w:smartTagPr>
        <w:r w:rsidRPr="007A3507">
          <w:rPr>
            <w:sz w:val="20"/>
            <w:lang w:val="it-IT"/>
          </w:rPr>
          <w:t>la Sezione</w:t>
        </w:r>
      </w:smartTag>
      <w:r w:rsidRPr="007A3507">
        <w:rPr>
          <w:sz w:val="20"/>
          <w:lang w:val="it-IT"/>
        </w:rPr>
        <w:t xml:space="preserve"> ha stabilito </w:t>
      </w:r>
      <w:r w:rsidRPr="007A3507">
        <w:rPr>
          <w:sz w:val="20"/>
          <w:lang w:val="it-IT"/>
        </w:rPr>
        <w:lastRenderedPageBreak/>
        <w:t xml:space="preserve">i criteri sul procedimento e sulla formulazione dei pareri previsti dall’articolo </w:t>
      </w:r>
      <w:proofErr w:type="gramStart"/>
      <w:r w:rsidRPr="007A3507">
        <w:rPr>
          <w:sz w:val="20"/>
          <w:lang w:val="it-IT"/>
        </w:rPr>
        <w:t>7</w:t>
      </w:r>
      <w:proofErr w:type="gramEnd"/>
      <w:r w:rsidRPr="007A3507">
        <w:rPr>
          <w:sz w:val="20"/>
          <w:lang w:val="it-IT"/>
        </w:rPr>
        <w:t>, comma 8, della legge n. 131/2003;</w:t>
      </w:r>
      <w:r w:rsidRPr="007A3507">
        <w:rPr>
          <w:sz w:val="20"/>
          <w:lang w:val="it-IT"/>
        </w:rPr>
        <w:cr/>
      </w:r>
      <w:r w:rsidRPr="003B3020">
        <w:rPr>
          <w:sz w:val="20"/>
          <w:lang w:val="it-IT"/>
        </w:rPr>
        <w:t xml:space="preserve">Vista la nota </w:t>
      </w:r>
      <w:r w:rsidR="00CA0026">
        <w:rPr>
          <w:sz w:val="20"/>
          <w:lang w:val="it-IT"/>
        </w:rPr>
        <w:t xml:space="preserve">17 febbraio 2014 </w:t>
      </w:r>
      <w:r w:rsidRPr="003B3020">
        <w:rPr>
          <w:sz w:val="20"/>
          <w:lang w:val="it-IT"/>
        </w:rPr>
        <w:t xml:space="preserve">con la quale il Sindaco del Comune di </w:t>
      </w:r>
      <w:r w:rsidR="00CA0026">
        <w:rPr>
          <w:sz w:val="20"/>
          <w:lang w:val="it-IT"/>
        </w:rPr>
        <w:t>Cinisello Balsamo</w:t>
      </w:r>
      <w:r w:rsidRPr="003B3020">
        <w:rPr>
          <w:sz w:val="20"/>
          <w:lang w:val="it-IT"/>
        </w:rPr>
        <w:t xml:space="preserve"> ha</w:t>
      </w:r>
      <w:r w:rsidRPr="007A3507">
        <w:rPr>
          <w:sz w:val="20"/>
          <w:lang w:val="it-IT"/>
        </w:rPr>
        <w:t xml:space="preserve"> chiesto un parere in materia di contabilità pubblica</w:t>
      </w:r>
      <w:r w:rsidR="00CA0026">
        <w:rPr>
          <w:sz w:val="20"/>
          <w:lang w:val="it-IT"/>
        </w:rPr>
        <w:t xml:space="preserve"> </w:t>
      </w:r>
      <w:proofErr w:type="gramStart"/>
      <w:r w:rsidR="00CA0026">
        <w:rPr>
          <w:sz w:val="20"/>
          <w:lang w:val="it-IT"/>
        </w:rPr>
        <w:t>(</w:t>
      </w:r>
      <w:proofErr w:type="spellStart"/>
      <w:proofErr w:type="gramEnd"/>
      <w:r w:rsidR="00CA0026">
        <w:rPr>
          <w:sz w:val="20"/>
          <w:lang w:val="it-IT"/>
        </w:rPr>
        <w:t>prot</w:t>
      </w:r>
      <w:proofErr w:type="spellEnd"/>
      <w:r w:rsidR="00CA0026">
        <w:rPr>
          <w:sz w:val="20"/>
          <w:lang w:val="it-IT"/>
        </w:rPr>
        <w:t>. Corte dei Conti n. 1525 del 18 febbraio 2014</w:t>
      </w:r>
      <w:proofErr w:type="gramStart"/>
      <w:r w:rsidR="00CA0026">
        <w:rPr>
          <w:sz w:val="20"/>
          <w:lang w:val="it-IT"/>
        </w:rPr>
        <w:t>)</w:t>
      </w:r>
      <w:proofErr w:type="gramEnd"/>
      <w:r w:rsidRPr="007A3507">
        <w:rPr>
          <w:sz w:val="20"/>
          <w:lang w:val="it-IT"/>
        </w:rPr>
        <w:t>;</w:t>
      </w:r>
      <w:r w:rsidRPr="007A3507">
        <w:rPr>
          <w:sz w:val="20"/>
          <w:lang w:val="it-IT"/>
        </w:rPr>
        <w:cr/>
        <w:t xml:space="preserve">Vista l’ordinanza con la quale il Presidente ha convocato </w:t>
      </w:r>
      <w:smartTag w:uri="urn:schemas-microsoft-com:office:smarttags" w:element="PersonName">
        <w:smartTagPr>
          <w:attr w:name="ProductID" w:val="la Sezione"/>
        </w:smartTagPr>
        <w:r w:rsidRPr="007A3507">
          <w:rPr>
            <w:sz w:val="20"/>
            <w:lang w:val="it-IT"/>
          </w:rPr>
          <w:t>la Sezione</w:t>
        </w:r>
      </w:smartTag>
      <w:r w:rsidRPr="007A3507">
        <w:rPr>
          <w:sz w:val="20"/>
          <w:lang w:val="it-IT"/>
        </w:rPr>
        <w:t xml:space="preserve"> per l</w:t>
      </w:r>
      <w:r>
        <w:rPr>
          <w:sz w:val="20"/>
          <w:lang w:val="it-IT"/>
        </w:rPr>
        <w:t>a camera di consiglio</w:t>
      </w:r>
      <w:r w:rsidRPr="007A3507">
        <w:rPr>
          <w:sz w:val="20"/>
          <w:lang w:val="it-IT"/>
        </w:rPr>
        <w:t xml:space="preserve"> odierna per deliberare sulla sopra indicata richiesta;</w:t>
      </w:r>
      <w:r w:rsidRPr="007A3507">
        <w:rPr>
          <w:sz w:val="20"/>
          <w:lang w:val="it-IT"/>
        </w:rPr>
        <w:cr/>
      </w:r>
      <w:r w:rsidRPr="003B3020">
        <w:rPr>
          <w:sz w:val="20"/>
          <w:lang w:val="it-IT"/>
        </w:rPr>
        <w:t xml:space="preserve">Udito il relatore, dott.ssa Sara Raffaella </w:t>
      </w:r>
      <w:proofErr w:type="gramStart"/>
      <w:r w:rsidRPr="003B3020">
        <w:rPr>
          <w:sz w:val="20"/>
          <w:lang w:val="it-IT"/>
        </w:rPr>
        <w:t>Molinaro</w:t>
      </w:r>
      <w:proofErr w:type="gramEnd"/>
    </w:p>
    <w:p w:rsidR="00400C2A" w:rsidRDefault="00400C2A" w:rsidP="003B7680">
      <w:pPr>
        <w:spacing w:line="360" w:lineRule="auto"/>
        <w:jc w:val="both"/>
        <w:rPr>
          <w:sz w:val="20"/>
          <w:lang w:val="it-IT"/>
        </w:rPr>
      </w:pPr>
    </w:p>
    <w:p w:rsidR="003B7680" w:rsidRDefault="003B7680" w:rsidP="003B7680">
      <w:pPr>
        <w:tabs>
          <w:tab w:val="left" w:pos="1931"/>
          <w:tab w:val="left" w:pos="2111"/>
        </w:tabs>
        <w:spacing w:line="360" w:lineRule="auto"/>
        <w:ind w:firstLine="567"/>
        <w:jc w:val="center"/>
        <w:outlineLvl w:val="0"/>
        <w:rPr>
          <w:b/>
          <w:sz w:val="20"/>
          <w:lang w:val="it-IT"/>
        </w:rPr>
      </w:pPr>
      <w:r w:rsidRPr="007A3507">
        <w:rPr>
          <w:b/>
          <w:sz w:val="20"/>
          <w:lang w:val="it-IT"/>
        </w:rPr>
        <w:t>Premesso che</w:t>
      </w:r>
    </w:p>
    <w:p w:rsidR="00727C3E" w:rsidRPr="007A3507" w:rsidRDefault="00727C3E" w:rsidP="003B7680">
      <w:pPr>
        <w:tabs>
          <w:tab w:val="left" w:pos="1931"/>
          <w:tab w:val="left" w:pos="2111"/>
        </w:tabs>
        <w:spacing w:line="360" w:lineRule="auto"/>
        <w:ind w:firstLine="567"/>
        <w:jc w:val="center"/>
        <w:outlineLvl w:val="0"/>
        <w:rPr>
          <w:sz w:val="20"/>
          <w:lang w:val="it-IT"/>
        </w:rPr>
      </w:pPr>
    </w:p>
    <w:p w:rsidR="009832D3" w:rsidRPr="009832D3" w:rsidRDefault="003B7680" w:rsidP="009832D3">
      <w:pPr>
        <w:autoSpaceDE w:val="0"/>
        <w:autoSpaceDN w:val="0"/>
        <w:adjustRightInd w:val="0"/>
        <w:spacing w:line="480" w:lineRule="auto"/>
        <w:jc w:val="both"/>
        <w:rPr>
          <w:sz w:val="20"/>
          <w:lang w:val="it-IT"/>
        </w:rPr>
      </w:pPr>
      <w:proofErr w:type="gramStart"/>
      <w:r w:rsidRPr="00097902">
        <w:rPr>
          <w:color w:val="000000"/>
          <w:sz w:val="20"/>
          <w:lang w:val="it-IT"/>
        </w:rPr>
        <w:t xml:space="preserve">Il </w:t>
      </w:r>
      <w:r w:rsidRPr="001D5E5E">
        <w:rPr>
          <w:color w:val="000000"/>
          <w:sz w:val="20"/>
          <w:lang w:val="it-IT"/>
        </w:rPr>
        <w:t xml:space="preserve">Sindaco del Comune di </w:t>
      </w:r>
      <w:r w:rsidR="00CA0026">
        <w:rPr>
          <w:color w:val="000000"/>
          <w:sz w:val="20"/>
          <w:lang w:val="it-IT"/>
        </w:rPr>
        <w:t>Cinisello Balsamo</w:t>
      </w:r>
      <w:r>
        <w:rPr>
          <w:color w:val="000000"/>
          <w:sz w:val="20"/>
          <w:lang w:val="it-IT"/>
        </w:rPr>
        <w:t xml:space="preserve">, </w:t>
      </w:r>
      <w:r w:rsidRPr="00097902">
        <w:rPr>
          <w:color w:val="000000"/>
          <w:sz w:val="20"/>
          <w:lang w:val="it-IT"/>
        </w:rPr>
        <w:t xml:space="preserve">con </w:t>
      </w:r>
      <w:r>
        <w:rPr>
          <w:color w:val="000000"/>
          <w:sz w:val="20"/>
          <w:lang w:val="it-IT"/>
        </w:rPr>
        <w:t xml:space="preserve">nota </w:t>
      </w:r>
      <w:r w:rsidR="00CA0026">
        <w:rPr>
          <w:color w:val="000000"/>
          <w:sz w:val="20"/>
          <w:lang w:val="it-IT"/>
        </w:rPr>
        <w:t>17 febbraio 2014</w:t>
      </w:r>
      <w:r>
        <w:rPr>
          <w:color w:val="000000"/>
          <w:sz w:val="20"/>
          <w:lang w:val="it-IT"/>
        </w:rPr>
        <w:t xml:space="preserve"> (</w:t>
      </w:r>
      <w:proofErr w:type="spellStart"/>
      <w:r w:rsidR="00CA0026">
        <w:rPr>
          <w:sz w:val="20"/>
          <w:lang w:val="it-IT"/>
        </w:rPr>
        <w:t>prot</w:t>
      </w:r>
      <w:proofErr w:type="spellEnd"/>
      <w:proofErr w:type="gramEnd"/>
      <w:r w:rsidR="00CA0026">
        <w:rPr>
          <w:sz w:val="20"/>
          <w:lang w:val="it-IT"/>
        </w:rPr>
        <w:t>. Corte dei Conti n. 1525 del 18 febbraio 2014</w:t>
      </w:r>
      <w:r>
        <w:rPr>
          <w:color w:val="000000"/>
          <w:sz w:val="20"/>
          <w:lang w:val="it-IT"/>
        </w:rPr>
        <w:t xml:space="preserve">), </w:t>
      </w:r>
      <w:r w:rsidRPr="00097902">
        <w:rPr>
          <w:color w:val="000000"/>
          <w:sz w:val="20"/>
          <w:lang w:val="it-IT"/>
        </w:rPr>
        <w:t>ha</w:t>
      </w:r>
      <w:r>
        <w:rPr>
          <w:color w:val="000000"/>
          <w:sz w:val="20"/>
          <w:lang w:val="it-IT"/>
        </w:rPr>
        <w:t xml:space="preserve"> formulato una</w:t>
      </w:r>
      <w:r w:rsidRPr="00097902">
        <w:rPr>
          <w:color w:val="000000"/>
          <w:sz w:val="20"/>
          <w:lang w:val="it-IT"/>
        </w:rPr>
        <w:t xml:space="preserve"> richiesta di parere</w:t>
      </w:r>
      <w:r>
        <w:rPr>
          <w:color w:val="000000"/>
          <w:sz w:val="20"/>
          <w:lang w:val="it-IT"/>
        </w:rPr>
        <w:t xml:space="preserve"> </w:t>
      </w:r>
      <w:r w:rsidR="009832D3" w:rsidRPr="009832D3">
        <w:rPr>
          <w:sz w:val="20"/>
          <w:lang w:val="it-IT"/>
        </w:rPr>
        <w:t xml:space="preserve">in merito alle </w:t>
      </w:r>
      <w:proofErr w:type="gramStart"/>
      <w:r w:rsidR="009832D3" w:rsidRPr="009832D3">
        <w:rPr>
          <w:sz w:val="20"/>
          <w:lang w:val="it-IT"/>
        </w:rPr>
        <w:t>modalità</w:t>
      </w:r>
      <w:proofErr w:type="gramEnd"/>
      <w:r w:rsidR="009832D3" w:rsidRPr="009832D3">
        <w:rPr>
          <w:sz w:val="20"/>
          <w:lang w:val="it-IT"/>
        </w:rPr>
        <w:t xml:space="preserve"> di applicazione della riduzione del fondo delle risorse destinate al trattamento accessorio del personale ai sensi dell’art. 9, comma </w:t>
      </w:r>
      <w:proofErr w:type="gramStart"/>
      <w:r w:rsidR="009832D3" w:rsidRPr="009832D3">
        <w:rPr>
          <w:sz w:val="20"/>
          <w:lang w:val="it-IT"/>
        </w:rPr>
        <w:t>2</w:t>
      </w:r>
      <w:proofErr w:type="gramEnd"/>
      <w:r w:rsidR="009832D3" w:rsidRPr="009832D3">
        <w:rPr>
          <w:sz w:val="20"/>
          <w:lang w:val="it-IT"/>
        </w:rPr>
        <w:t xml:space="preserve"> </w:t>
      </w:r>
      <w:r w:rsidR="009832D3" w:rsidRPr="009832D3">
        <w:rPr>
          <w:i/>
          <w:sz w:val="20"/>
          <w:lang w:val="it-IT"/>
        </w:rPr>
        <w:t>bis</w:t>
      </w:r>
      <w:r w:rsidR="009832D3" w:rsidRPr="009832D3">
        <w:rPr>
          <w:sz w:val="20"/>
          <w:lang w:val="it-IT"/>
        </w:rPr>
        <w:t xml:space="preserve"> del </w:t>
      </w:r>
      <w:proofErr w:type="spellStart"/>
      <w:r w:rsidR="009832D3" w:rsidRPr="009832D3">
        <w:rPr>
          <w:sz w:val="20"/>
          <w:lang w:val="it-IT"/>
        </w:rPr>
        <w:t>d.l.</w:t>
      </w:r>
      <w:proofErr w:type="spellEnd"/>
      <w:r w:rsidR="009832D3" w:rsidRPr="009832D3">
        <w:rPr>
          <w:sz w:val="20"/>
          <w:lang w:val="it-IT"/>
        </w:rPr>
        <w:t xml:space="preserve"> 31 maggio 2010, n. 78, convertito con modificazioni dalla legge 30 luglio 2010, n. 122.</w:t>
      </w:r>
    </w:p>
    <w:p w:rsidR="004A6DC6" w:rsidRDefault="004A6DC6" w:rsidP="00400C2A">
      <w:pPr>
        <w:autoSpaceDE w:val="0"/>
        <w:autoSpaceDN w:val="0"/>
        <w:adjustRightInd w:val="0"/>
        <w:spacing w:line="480" w:lineRule="auto"/>
        <w:jc w:val="both"/>
        <w:rPr>
          <w:sz w:val="20"/>
          <w:lang w:val="it-IT"/>
        </w:rPr>
      </w:pPr>
      <w:r w:rsidRPr="004A6DC6">
        <w:rPr>
          <w:sz w:val="20"/>
          <w:lang w:val="it-IT"/>
        </w:rPr>
        <w:t xml:space="preserve">Il rappresentante </w:t>
      </w:r>
      <w:proofErr w:type="gramStart"/>
      <w:r w:rsidRPr="004A6DC6">
        <w:rPr>
          <w:sz w:val="20"/>
          <w:lang w:val="it-IT"/>
        </w:rPr>
        <w:t>dell’ente locale precisa</w:t>
      </w:r>
      <w:proofErr w:type="gramEnd"/>
      <w:r w:rsidRPr="004A6DC6">
        <w:rPr>
          <w:sz w:val="20"/>
          <w:lang w:val="it-IT"/>
        </w:rPr>
        <w:t xml:space="preserve"> che la costituzione del fondo avviene seguendo due binari: un primo riguardante le risorse stabili e consolidate dell’ente e un secondo binario variabile in relazione alla ricorrenza dei meccanismi di cui all’art. 15, commi </w:t>
      </w:r>
      <w:proofErr w:type="gramStart"/>
      <w:r w:rsidRPr="004A6DC6">
        <w:rPr>
          <w:sz w:val="20"/>
          <w:lang w:val="it-IT"/>
        </w:rPr>
        <w:t>2</w:t>
      </w:r>
      <w:proofErr w:type="gramEnd"/>
      <w:r w:rsidRPr="004A6DC6">
        <w:rPr>
          <w:sz w:val="20"/>
          <w:lang w:val="it-IT"/>
        </w:rPr>
        <w:t xml:space="preserve"> e 5, del CCNL di comparto. Il Sindaco del Comune di Cinisello Balsamo chiede in particolare di sapere se può “</w:t>
      </w:r>
      <w:r w:rsidRPr="004A6DC6">
        <w:rPr>
          <w:i/>
          <w:sz w:val="20"/>
          <w:lang w:val="it-IT"/>
        </w:rPr>
        <w:t>applicare in prima battuta la riduzione derivante dalla diminuzione del personale in servizio unicamente alle risorse di parte stabile del fondo</w:t>
      </w:r>
      <w:r w:rsidRPr="004A6DC6">
        <w:rPr>
          <w:sz w:val="20"/>
          <w:lang w:val="it-IT"/>
        </w:rPr>
        <w:t xml:space="preserve">”. Al riguardo </w:t>
      </w:r>
      <w:proofErr w:type="gramStart"/>
      <w:r w:rsidRPr="004A6DC6">
        <w:rPr>
          <w:sz w:val="20"/>
          <w:lang w:val="it-IT"/>
        </w:rPr>
        <w:t>viene</w:t>
      </w:r>
      <w:proofErr w:type="gramEnd"/>
      <w:r w:rsidRPr="004A6DC6">
        <w:rPr>
          <w:sz w:val="20"/>
          <w:lang w:val="it-IT"/>
        </w:rPr>
        <w:t xml:space="preserve"> precisato che da tale operazione “</w:t>
      </w:r>
      <w:r w:rsidRPr="004A6DC6">
        <w:rPr>
          <w:i/>
          <w:sz w:val="20"/>
          <w:lang w:val="it-IT"/>
        </w:rPr>
        <w:t xml:space="preserve">può derivare che la parte stabile del fondo sia obbligatoriamente inferiore alla stessa parte stabile del fondo 2010 (causa blocco del turn over), mentre la parte variabile potrebbe essere uguale o anche superiore a quella già resa disponibile nel 2010 o negli anni di vigenza del blocco ex </w:t>
      </w:r>
      <w:proofErr w:type="spellStart"/>
      <w:r w:rsidRPr="004A6DC6">
        <w:rPr>
          <w:i/>
          <w:sz w:val="20"/>
          <w:lang w:val="it-IT"/>
        </w:rPr>
        <w:t>d.l.</w:t>
      </w:r>
      <w:proofErr w:type="spellEnd"/>
      <w:r w:rsidRPr="004A6DC6">
        <w:rPr>
          <w:i/>
          <w:sz w:val="20"/>
          <w:lang w:val="it-IT"/>
        </w:rPr>
        <w:t xml:space="preserve"> n. 78/2010. Resta inteso che il totale delle risorse decentrate (cioè la somma della parte stabile e quella variabile), e quindi</w:t>
      </w:r>
      <w:r w:rsidRPr="004A6DC6">
        <w:rPr>
          <w:sz w:val="20"/>
          <w:lang w:val="it-IT"/>
        </w:rPr>
        <w:t xml:space="preserve"> &lt;&lt;l’ammontare complessivo delle risorse </w:t>
      </w:r>
      <w:r>
        <w:rPr>
          <w:sz w:val="20"/>
          <w:lang w:val="it-IT"/>
        </w:rPr>
        <w:t>d</w:t>
      </w:r>
      <w:r w:rsidRPr="004A6DC6">
        <w:rPr>
          <w:sz w:val="20"/>
          <w:lang w:val="it-IT"/>
        </w:rPr>
        <w:t xml:space="preserve">estinate annualmente al trattamento accessorio del personale&gt;&gt; </w:t>
      </w:r>
      <w:r w:rsidRPr="004A6DC6">
        <w:rPr>
          <w:i/>
          <w:sz w:val="20"/>
          <w:lang w:val="it-IT"/>
        </w:rPr>
        <w:t xml:space="preserve">una volta </w:t>
      </w:r>
      <w:proofErr w:type="gramStart"/>
      <w:r w:rsidRPr="004A6DC6">
        <w:rPr>
          <w:i/>
          <w:sz w:val="20"/>
          <w:lang w:val="it-IT"/>
        </w:rPr>
        <w:t>concluse</w:t>
      </w:r>
      <w:proofErr w:type="gramEnd"/>
      <w:r w:rsidRPr="004A6DC6">
        <w:rPr>
          <w:i/>
          <w:sz w:val="20"/>
          <w:lang w:val="it-IT"/>
        </w:rPr>
        <w:t xml:space="preserve"> tutte le operazioni di costituzione del fondo, non debba superare il totale delle risorse messe a disposizione per il fondo 2010. </w:t>
      </w:r>
      <w:proofErr w:type="gramStart"/>
      <w:r w:rsidRPr="004A6DC6">
        <w:rPr>
          <w:i/>
          <w:sz w:val="20"/>
          <w:lang w:val="it-IT"/>
        </w:rPr>
        <w:t>L’eventuale riduzione delle risorse stabili sarebbe quindi da applicarsi solo per consentire il rispetto di tale limite</w:t>
      </w:r>
      <w:r w:rsidRPr="004A6DC6">
        <w:rPr>
          <w:sz w:val="20"/>
          <w:lang w:val="it-IT"/>
        </w:rPr>
        <w:t>”.</w:t>
      </w:r>
      <w:proofErr w:type="gramEnd"/>
      <w:r>
        <w:rPr>
          <w:sz w:val="20"/>
          <w:lang w:val="it-IT"/>
        </w:rPr>
        <w:tab/>
      </w:r>
    </w:p>
    <w:p w:rsidR="00400C2A" w:rsidRPr="004A6DC6" w:rsidRDefault="00400C2A" w:rsidP="00400C2A">
      <w:pPr>
        <w:autoSpaceDE w:val="0"/>
        <w:autoSpaceDN w:val="0"/>
        <w:adjustRightInd w:val="0"/>
        <w:spacing w:line="480" w:lineRule="auto"/>
        <w:jc w:val="both"/>
        <w:rPr>
          <w:sz w:val="20"/>
          <w:lang w:val="it-IT"/>
        </w:rPr>
      </w:pPr>
    </w:p>
    <w:p w:rsidR="003B7680" w:rsidRDefault="003B7680" w:rsidP="003B7680">
      <w:pPr>
        <w:spacing w:line="360" w:lineRule="auto"/>
        <w:ind w:firstLine="284"/>
        <w:jc w:val="center"/>
        <w:rPr>
          <w:b/>
          <w:sz w:val="20"/>
          <w:lang w:val="it-IT"/>
        </w:rPr>
      </w:pPr>
      <w:r w:rsidRPr="007A3507">
        <w:rPr>
          <w:b/>
          <w:sz w:val="20"/>
          <w:lang w:val="it-IT"/>
        </w:rPr>
        <w:t>In merito all’ammissibilità della richiesta</w:t>
      </w:r>
    </w:p>
    <w:p w:rsidR="00727C3E" w:rsidRPr="007A3507" w:rsidRDefault="00727C3E" w:rsidP="003B7680">
      <w:pPr>
        <w:spacing w:line="360" w:lineRule="auto"/>
        <w:ind w:firstLine="284"/>
        <w:jc w:val="center"/>
        <w:rPr>
          <w:sz w:val="20"/>
          <w:lang w:val="it-IT"/>
        </w:rPr>
      </w:pPr>
    </w:p>
    <w:p w:rsidR="00AE1A0A" w:rsidRPr="000A234D" w:rsidRDefault="00AE1A0A" w:rsidP="004A6DC6">
      <w:pPr>
        <w:autoSpaceDE w:val="0"/>
        <w:autoSpaceDN w:val="0"/>
        <w:adjustRightInd w:val="0"/>
        <w:spacing w:line="480" w:lineRule="auto"/>
        <w:jc w:val="both"/>
        <w:rPr>
          <w:sz w:val="20"/>
          <w:lang w:val="it-IT"/>
        </w:rPr>
      </w:pPr>
      <w:r w:rsidRPr="00AE1A0A">
        <w:rPr>
          <w:sz w:val="20"/>
          <w:lang w:val="it-IT"/>
        </w:rPr>
        <w:t xml:space="preserve">La richiesta di parere è da considerarsi ammissibile sotto il profilo soggettivo </w:t>
      </w:r>
      <w:proofErr w:type="gramStart"/>
      <w:r>
        <w:rPr>
          <w:sz w:val="20"/>
          <w:lang w:val="it-IT"/>
        </w:rPr>
        <w:t>dal momento che</w:t>
      </w:r>
      <w:proofErr w:type="gramEnd"/>
      <w:r>
        <w:rPr>
          <w:sz w:val="20"/>
          <w:lang w:val="it-IT"/>
        </w:rPr>
        <w:t xml:space="preserve"> </w:t>
      </w:r>
      <w:r w:rsidRPr="007A3507">
        <w:rPr>
          <w:sz w:val="20"/>
          <w:lang w:val="it-IT"/>
        </w:rPr>
        <w:t xml:space="preserve"> </w:t>
      </w:r>
      <w:r>
        <w:rPr>
          <w:sz w:val="20"/>
          <w:lang w:val="it-IT"/>
        </w:rPr>
        <w:t xml:space="preserve">il comune rientra nel novero degli enti che possono richiedere pareri alle Sezioni regionali di controllo ai sensi </w:t>
      </w:r>
      <w:r w:rsidRPr="007A3507">
        <w:rPr>
          <w:sz w:val="20"/>
          <w:lang w:val="it-IT"/>
        </w:rPr>
        <w:t>d</w:t>
      </w:r>
      <w:r>
        <w:rPr>
          <w:sz w:val="20"/>
          <w:lang w:val="it-IT"/>
        </w:rPr>
        <w:t>e</w:t>
      </w:r>
      <w:r w:rsidRPr="007A3507">
        <w:rPr>
          <w:sz w:val="20"/>
          <w:lang w:val="it-IT"/>
        </w:rPr>
        <w:t xml:space="preserve">ll’art. 7, comma </w:t>
      </w:r>
      <w:proofErr w:type="gramStart"/>
      <w:r w:rsidRPr="007A3507">
        <w:rPr>
          <w:sz w:val="20"/>
          <w:lang w:val="it-IT"/>
        </w:rPr>
        <w:t>8</w:t>
      </w:r>
      <w:proofErr w:type="gramEnd"/>
      <w:r w:rsidRPr="007A3507">
        <w:rPr>
          <w:sz w:val="20"/>
          <w:lang w:val="it-IT"/>
        </w:rPr>
        <w:t>, della legge 6 giugno 2003, n. 131</w:t>
      </w:r>
      <w:r>
        <w:rPr>
          <w:sz w:val="20"/>
          <w:lang w:val="it-IT"/>
        </w:rPr>
        <w:t xml:space="preserve"> e, nell’ambito dell’amministrazione comunale, il sindaco è l’organo istituzionalmente legittimato </w:t>
      </w:r>
      <w:r w:rsidRPr="000A234D">
        <w:rPr>
          <w:sz w:val="20"/>
          <w:lang w:val="it-IT"/>
        </w:rPr>
        <w:t xml:space="preserve">a richiedere il parere in quanto  rappresentante dell’ente ai sensi dell’art. 50 </w:t>
      </w:r>
      <w:proofErr w:type="gramStart"/>
      <w:r w:rsidRPr="000A234D">
        <w:rPr>
          <w:sz w:val="20"/>
          <w:lang w:val="it-IT"/>
        </w:rPr>
        <w:t>T.U.E.L.</w:t>
      </w:r>
      <w:proofErr w:type="gramEnd"/>
      <w:r w:rsidRPr="000A234D">
        <w:rPr>
          <w:sz w:val="20"/>
          <w:lang w:val="it-IT"/>
        </w:rPr>
        <w:t xml:space="preserve"> </w:t>
      </w:r>
    </w:p>
    <w:p w:rsidR="008E203D" w:rsidRDefault="008E203D" w:rsidP="004A6DC6">
      <w:pPr>
        <w:autoSpaceDE w:val="0"/>
        <w:autoSpaceDN w:val="0"/>
        <w:adjustRightInd w:val="0"/>
        <w:spacing w:line="480" w:lineRule="auto"/>
        <w:jc w:val="both"/>
        <w:rPr>
          <w:sz w:val="20"/>
          <w:lang w:val="it-IT"/>
        </w:rPr>
      </w:pPr>
      <w:r w:rsidRPr="007A3507">
        <w:rPr>
          <w:sz w:val="20"/>
          <w:lang w:val="it-IT"/>
        </w:rPr>
        <w:t xml:space="preserve">Con riferimento alla </w:t>
      </w:r>
      <w:r w:rsidRPr="008E203D">
        <w:rPr>
          <w:sz w:val="20"/>
          <w:lang w:val="it-IT"/>
        </w:rPr>
        <w:t>verifica del profilo oggettivo</w:t>
      </w:r>
      <w:r w:rsidRPr="007A3507">
        <w:rPr>
          <w:sz w:val="20"/>
          <w:lang w:val="it-IT"/>
        </w:rPr>
        <w:t xml:space="preserve">, occorre </w:t>
      </w:r>
      <w:r>
        <w:rPr>
          <w:sz w:val="20"/>
          <w:lang w:val="it-IT"/>
        </w:rPr>
        <w:t xml:space="preserve">precisare che, come previsto dall’art. 7 della legge n. 131/2003, </w:t>
      </w:r>
      <w:r w:rsidRPr="007A3507">
        <w:rPr>
          <w:sz w:val="20"/>
          <w:lang w:val="it-IT"/>
        </w:rPr>
        <w:t xml:space="preserve">le Sezioni regionali della Corte dei conti non svolgono una funzione consultiva a carattere generale in favore degli enti locali, ma le attribuzioni consultive si connotano sulle funzioni sostanziali di controllo collaborativo conferite dalla legislazione. </w:t>
      </w:r>
    </w:p>
    <w:p w:rsidR="008E203D" w:rsidRPr="00C4635A" w:rsidRDefault="008E203D" w:rsidP="004A6DC6">
      <w:pPr>
        <w:autoSpaceDE w:val="0"/>
        <w:autoSpaceDN w:val="0"/>
        <w:adjustRightInd w:val="0"/>
        <w:spacing w:line="480" w:lineRule="auto"/>
        <w:jc w:val="both"/>
        <w:rPr>
          <w:sz w:val="20"/>
          <w:lang w:val="it-IT"/>
        </w:rPr>
      </w:pPr>
      <w:smartTag w:uri="urn:schemas-microsoft-com:office:smarttags" w:element="PersonName">
        <w:smartTagPr>
          <w:attr w:name="ProductID" w:val="la Sezione"/>
        </w:smartTagPr>
        <w:r w:rsidRPr="00C4635A">
          <w:rPr>
            <w:sz w:val="20"/>
            <w:lang w:val="it-IT"/>
          </w:rPr>
          <w:t>La Sezione</w:t>
        </w:r>
      </w:smartTag>
      <w:r w:rsidRPr="00C4635A">
        <w:rPr>
          <w:sz w:val="20"/>
          <w:lang w:val="it-IT"/>
        </w:rPr>
        <w:t xml:space="preserve"> delle Autonomie, nell’adunanza del 27 aprile </w:t>
      </w:r>
      <w:smartTag w:uri="urn:schemas-microsoft-com:office:smarttags" w:element="metricconverter">
        <w:smartTagPr>
          <w:attr w:name="ProductID" w:val="2004, ha"/>
        </w:smartTagPr>
        <w:r w:rsidRPr="00C4635A">
          <w:rPr>
            <w:sz w:val="20"/>
            <w:lang w:val="it-IT"/>
          </w:rPr>
          <w:t>2004, ha</w:t>
        </w:r>
      </w:smartTag>
      <w:r w:rsidRPr="00C4635A">
        <w:rPr>
          <w:sz w:val="20"/>
          <w:lang w:val="it-IT"/>
        </w:rPr>
        <w:t xml:space="preserve"> fissato principi e </w:t>
      </w:r>
      <w:proofErr w:type="gramStart"/>
      <w:r w:rsidRPr="00C4635A">
        <w:rPr>
          <w:sz w:val="20"/>
          <w:lang w:val="it-IT"/>
        </w:rPr>
        <w:t>modalità</w:t>
      </w:r>
      <w:proofErr w:type="gramEnd"/>
      <w:r w:rsidRPr="00C4635A">
        <w:rPr>
          <w:sz w:val="20"/>
          <w:lang w:val="it-IT"/>
        </w:rPr>
        <w:t xml:space="preserve"> per l’esercizio dell’attività consultiva, modificati ed integrati con le successive delibere n.5/AUT/2006 e n.9/SEZAUT/2009. </w:t>
      </w:r>
      <w:r>
        <w:rPr>
          <w:sz w:val="20"/>
          <w:lang w:val="it-IT"/>
        </w:rPr>
        <w:t>S</w:t>
      </w:r>
      <w:r w:rsidRPr="00C4635A">
        <w:rPr>
          <w:sz w:val="20"/>
          <w:lang w:val="it-IT"/>
        </w:rPr>
        <w:t>i è precisato che la funzione consultiva non può intendersi come consulenza generale agli enti, ma ristretta esclusivamente alla materia contabile pubblica, quindi ai bilanci pubblici, alle norme e principi che disciplinano la gestione finanziaria e del patrimonio o comunque a temi di carattere generale nella materia contabile.</w:t>
      </w:r>
    </w:p>
    <w:p w:rsidR="008E203D" w:rsidRDefault="008E203D" w:rsidP="004A6DC6">
      <w:pPr>
        <w:autoSpaceDE w:val="0"/>
        <w:autoSpaceDN w:val="0"/>
        <w:adjustRightInd w:val="0"/>
        <w:spacing w:line="480" w:lineRule="auto"/>
        <w:jc w:val="both"/>
        <w:rPr>
          <w:sz w:val="20"/>
          <w:lang w:val="it-IT"/>
        </w:rPr>
      </w:pPr>
      <w:proofErr w:type="gramStart"/>
      <w:r>
        <w:rPr>
          <w:sz w:val="20"/>
          <w:lang w:val="it-IT"/>
        </w:rPr>
        <w:t>L</w:t>
      </w:r>
      <w:r w:rsidRPr="007A3507">
        <w:rPr>
          <w:sz w:val="20"/>
          <w:lang w:val="it-IT"/>
        </w:rPr>
        <w:t>e Sezioni riunite della Corte dei conti, intervenendo con una pronuncia in sede di coordinamento della finanza</w:t>
      </w:r>
      <w:r>
        <w:rPr>
          <w:sz w:val="20"/>
          <w:lang w:val="it-IT"/>
        </w:rPr>
        <w:t xml:space="preserve"> pubblica ai sensi dell’art</w:t>
      </w:r>
      <w:proofErr w:type="gramEnd"/>
      <w:r>
        <w:rPr>
          <w:sz w:val="20"/>
          <w:lang w:val="it-IT"/>
        </w:rPr>
        <w:t>. 17</w:t>
      </w:r>
      <w:r w:rsidRPr="007A3507">
        <w:rPr>
          <w:sz w:val="20"/>
          <w:lang w:val="it-IT"/>
        </w:rPr>
        <w:t xml:space="preserve"> comma 31 del </w:t>
      </w:r>
      <w:proofErr w:type="spellStart"/>
      <w:r>
        <w:rPr>
          <w:sz w:val="20"/>
          <w:lang w:val="it-IT"/>
        </w:rPr>
        <w:t>d.l.</w:t>
      </w:r>
      <w:proofErr w:type="spellEnd"/>
      <w:r>
        <w:rPr>
          <w:sz w:val="20"/>
          <w:lang w:val="it-IT"/>
        </w:rPr>
        <w:t xml:space="preserve"> n. 78/2009, </w:t>
      </w:r>
      <w:r w:rsidRPr="007A3507">
        <w:rPr>
          <w:sz w:val="20"/>
          <w:lang w:val="it-IT"/>
        </w:rPr>
        <w:t xml:space="preserve">convertito, con modificazioni, </w:t>
      </w:r>
      <w:r>
        <w:rPr>
          <w:sz w:val="20"/>
          <w:lang w:val="it-IT"/>
        </w:rPr>
        <w:t>con legge n. 102/2009</w:t>
      </w:r>
      <w:r w:rsidRPr="007A3507">
        <w:rPr>
          <w:sz w:val="20"/>
          <w:lang w:val="it-IT"/>
        </w:rPr>
        <w:t xml:space="preserve">, </w:t>
      </w:r>
      <w:proofErr w:type="gramStart"/>
      <w:r w:rsidRPr="007A3507">
        <w:rPr>
          <w:sz w:val="20"/>
          <w:lang w:val="it-IT"/>
        </w:rPr>
        <w:t>hanno</w:t>
      </w:r>
      <w:proofErr w:type="gramEnd"/>
      <w:r w:rsidRPr="007A3507">
        <w:rPr>
          <w:sz w:val="20"/>
          <w:lang w:val="it-IT"/>
        </w:rPr>
        <w:t xml:space="preserve"> delineato una nozione di contabilità pubblica incentrata sul “</w:t>
      </w:r>
      <w:r w:rsidRPr="004A6DC6">
        <w:rPr>
          <w:sz w:val="20"/>
          <w:lang w:val="it-IT"/>
        </w:rPr>
        <w:t>sistema di principi e di norme che regolano l’attività finanziaria e patrimoniale dello Stato e degli enti pubblici</w:t>
      </w:r>
      <w:r w:rsidRPr="007A3507">
        <w:rPr>
          <w:sz w:val="20"/>
          <w:lang w:val="it-IT"/>
        </w:rPr>
        <w:t xml:space="preserve">”, da intendersi in senso dinamico anche in relazione alle materie che incidono sulla gestione del bilancio e sui suoi equilibri (Delibera n. 54 del 17 novembre 2010). </w:t>
      </w:r>
    </w:p>
    <w:p w:rsidR="00066121" w:rsidRDefault="00066121" w:rsidP="00400C2A">
      <w:pPr>
        <w:pStyle w:val="Corpotesto"/>
        <w:spacing w:line="360" w:lineRule="auto"/>
        <w:rPr>
          <w:rFonts w:ascii="Verdana" w:hAnsi="Verdana"/>
          <w:color w:val="000000"/>
          <w:sz w:val="20"/>
          <w:szCs w:val="20"/>
        </w:rPr>
      </w:pPr>
      <w:r w:rsidRPr="00AC048A">
        <w:rPr>
          <w:rFonts w:ascii="Verdana" w:hAnsi="Verdana"/>
          <w:color w:val="000000"/>
          <w:sz w:val="20"/>
          <w:szCs w:val="20"/>
        </w:rPr>
        <w:t xml:space="preserve">Tanto premesso, la richiesta di parere in esame risponde ai requisiti indicati sopra </w:t>
      </w:r>
      <w:proofErr w:type="gramStart"/>
      <w:r w:rsidRPr="00AC048A">
        <w:rPr>
          <w:rFonts w:ascii="Verdana" w:hAnsi="Verdana"/>
          <w:color w:val="000000"/>
          <w:sz w:val="20"/>
          <w:szCs w:val="20"/>
        </w:rPr>
        <w:t>ed</w:t>
      </w:r>
      <w:proofErr w:type="gramEnd"/>
      <w:r w:rsidRPr="00AC048A">
        <w:rPr>
          <w:rFonts w:ascii="Verdana" w:hAnsi="Verdana"/>
          <w:color w:val="000000"/>
          <w:sz w:val="20"/>
          <w:szCs w:val="20"/>
        </w:rPr>
        <w:t xml:space="preserve"> è pertanto da ritenere ammissibile.</w:t>
      </w:r>
    </w:p>
    <w:p w:rsidR="00400C2A" w:rsidRDefault="00400C2A" w:rsidP="00400C2A">
      <w:pPr>
        <w:pStyle w:val="Corpotesto"/>
        <w:spacing w:line="360" w:lineRule="auto"/>
        <w:rPr>
          <w:rFonts w:ascii="Verdana" w:hAnsi="Verdana"/>
          <w:color w:val="000000"/>
          <w:sz w:val="20"/>
          <w:szCs w:val="20"/>
        </w:rPr>
      </w:pPr>
    </w:p>
    <w:p w:rsidR="00066121" w:rsidRDefault="00066121" w:rsidP="00066121">
      <w:pPr>
        <w:spacing w:line="360" w:lineRule="auto"/>
        <w:ind w:firstLine="284"/>
        <w:jc w:val="center"/>
        <w:outlineLvl w:val="0"/>
        <w:rPr>
          <w:b/>
          <w:sz w:val="20"/>
          <w:lang w:val="it-IT"/>
        </w:rPr>
      </w:pPr>
      <w:r w:rsidRPr="00F53B02">
        <w:rPr>
          <w:b/>
          <w:sz w:val="20"/>
          <w:lang w:val="it-IT"/>
        </w:rPr>
        <w:t>Esame nel merito</w:t>
      </w:r>
    </w:p>
    <w:p w:rsidR="00727C3E" w:rsidRDefault="00727C3E" w:rsidP="00066121">
      <w:pPr>
        <w:spacing w:line="360" w:lineRule="auto"/>
        <w:ind w:firstLine="284"/>
        <w:jc w:val="center"/>
        <w:outlineLvl w:val="0"/>
        <w:rPr>
          <w:b/>
          <w:sz w:val="20"/>
          <w:lang w:val="it-IT"/>
        </w:rPr>
      </w:pPr>
    </w:p>
    <w:p w:rsidR="001E1E52" w:rsidRPr="001E1E52" w:rsidRDefault="001E1E52" w:rsidP="001E1E52">
      <w:pPr>
        <w:autoSpaceDE w:val="0"/>
        <w:autoSpaceDN w:val="0"/>
        <w:adjustRightInd w:val="0"/>
        <w:spacing w:line="480" w:lineRule="auto"/>
        <w:jc w:val="both"/>
        <w:rPr>
          <w:sz w:val="20"/>
          <w:lang w:val="it-IT"/>
        </w:rPr>
      </w:pPr>
      <w:r w:rsidRPr="001E1E52">
        <w:rPr>
          <w:sz w:val="20"/>
          <w:lang w:val="it-IT"/>
        </w:rPr>
        <w:t>Il quesito concerne la portata applicativa dell</w:t>
      </w:r>
      <w:r>
        <w:rPr>
          <w:sz w:val="20"/>
          <w:lang w:val="it-IT"/>
        </w:rPr>
        <w:t xml:space="preserve">’articolo </w:t>
      </w:r>
      <w:proofErr w:type="gramStart"/>
      <w:r>
        <w:rPr>
          <w:sz w:val="20"/>
          <w:lang w:val="it-IT"/>
        </w:rPr>
        <w:t>9</w:t>
      </w:r>
      <w:proofErr w:type="gramEnd"/>
      <w:r>
        <w:rPr>
          <w:sz w:val="20"/>
          <w:lang w:val="it-IT"/>
        </w:rPr>
        <w:t xml:space="preserve">, comma 2-bis, del </w:t>
      </w:r>
      <w:proofErr w:type="spellStart"/>
      <w:r>
        <w:rPr>
          <w:sz w:val="20"/>
          <w:lang w:val="it-IT"/>
        </w:rPr>
        <w:t>d</w:t>
      </w:r>
      <w:r w:rsidRPr="001E1E52">
        <w:rPr>
          <w:sz w:val="20"/>
          <w:lang w:val="it-IT"/>
        </w:rPr>
        <w:t>.</w:t>
      </w:r>
      <w:r>
        <w:rPr>
          <w:sz w:val="20"/>
          <w:lang w:val="it-IT"/>
        </w:rPr>
        <w:t>l</w:t>
      </w:r>
      <w:r w:rsidRPr="001E1E52">
        <w:rPr>
          <w:sz w:val="20"/>
          <w:lang w:val="it-IT"/>
        </w:rPr>
        <w:t>.</w:t>
      </w:r>
      <w:proofErr w:type="spellEnd"/>
      <w:r w:rsidRPr="001E1E52">
        <w:rPr>
          <w:sz w:val="20"/>
          <w:lang w:val="it-IT"/>
        </w:rPr>
        <w:t xml:space="preserve"> n. 78/2010, convertito con modificazioni nella legge n. 122/2010, e successivamente modificato dall’art. 1, comma 456, della legge n. 147/2013, in forza del quale «</w:t>
      </w:r>
      <w:r w:rsidRPr="001E1E52">
        <w:rPr>
          <w:i/>
          <w:sz w:val="20"/>
          <w:lang w:val="it-IT"/>
        </w:rPr>
        <w:t xml:space="preserve">a decorrere dal 1° gennaio 2011 e sino al 31 dicembre 2014 </w:t>
      </w:r>
      <w:proofErr w:type="gramStart"/>
      <w:r w:rsidRPr="001E1E52">
        <w:rPr>
          <w:i/>
          <w:sz w:val="20"/>
          <w:lang w:val="it-IT"/>
        </w:rPr>
        <w:t>l'</w:t>
      </w:r>
      <w:proofErr w:type="gramEnd"/>
      <w:r w:rsidRPr="001E1E52">
        <w:rPr>
          <w:i/>
          <w:sz w:val="20"/>
          <w:lang w:val="it-IT"/>
        </w:rPr>
        <w:t>ammontare complessivo delle risorse destinate annualmente al trattamento accessorio del personale, anche di livello dirigenziale, di ciascuna delle amministrazioni di cui all'articolo 1, comma 2, del decreto legislativo 30 marzo 2001, n. 165, non può superare il corrispondente importo dell'anno 2010 ed è, comunque, automaticamente ridotto in misura proporzionale alla riduzione del personale in servizio</w:t>
      </w:r>
      <w:r w:rsidRPr="001E1E52">
        <w:rPr>
          <w:sz w:val="20"/>
          <w:lang w:val="it-IT"/>
        </w:rPr>
        <w:t xml:space="preserve">». </w:t>
      </w:r>
    </w:p>
    <w:p w:rsidR="001E1E52" w:rsidRPr="00721EF0" w:rsidRDefault="007E5C6C" w:rsidP="001E1E52">
      <w:pPr>
        <w:autoSpaceDE w:val="0"/>
        <w:autoSpaceDN w:val="0"/>
        <w:adjustRightInd w:val="0"/>
        <w:spacing w:line="480" w:lineRule="auto"/>
        <w:jc w:val="both"/>
        <w:rPr>
          <w:rFonts w:cs="Courier New"/>
          <w:sz w:val="20"/>
          <w:lang w:val="it-IT"/>
        </w:rPr>
      </w:pPr>
      <w:r>
        <w:rPr>
          <w:rFonts w:cs="Verdana"/>
          <w:color w:val="000000"/>
          <w:sz w:val="20"/>
          <w:lang w:val="it-IT"/>
        </w:rPr>
        <w:t>L</w:t>
      </w:r>
      <w:r w:rsidR="001E1E52" w:rsidRPr="001E1E52">
        <w:rPr>
          <w:rFonts w:cs="Verdana"/>
          <w:color w:val="000000"/>
          <w:sz w:val="20"/>
          <w:lang w:val="it-IT"/>
        </w:rPr>
        <w:t>a legislazione in materia di pubblico impiego affida alla dinamica negoziale collettiva la definizione del trattamento economico, fa</w:t>
      </w:r>
      <w:r w:rsidR="001E1E52">
        <w:rPr>
          <w:rFonts w:cs="Verdana"/>
          <w:color w:val="000000"/>
          <w:sz w:val="20"/>
          <w:lang w:val="it-IT"/>
        </w:rPr>
        <w:t>tti salvi i limiti fissati dal l</w:t>
      </w:r>
      <w:r w:rsidR="001E1E52" w:rsidRPr="001E1E52">
        <w:rPr>
          <w:rFonts w:cs="Verdana"/>
          <w:color w:val="000000"/>
          <w:sz w:val="20"/>
          <w:lang w:val="it-IT"/>
        </w:rPr>
        <w:t>egislatore medesimo. In particolare, l</w:t>
      </w:r>
      <w:r w:rsidR="001E1E52" w:rsidRPr="001E1E52">
        <w:rPr>
          <w:rFonts w:cs="Courier New"/>
          <w:sz w:val="20"/>
          <w:lang w:val="it-IT"/>
        </w:rPr>
        <w:t xml:space="preserve">’art. 15 del </w:t>
      </w:r>
      <w:r w:rsidR="001E1E52" w:rsidRPr="00721EF0">
        <w:rPr>
          <w:rFonts w:cs="Courier New"/>
          <w:sz w:val="20"/>
          <w:lang w:val="it-IT"/>
        </w:rPr>
        <w:t>CCNL Enti locali del 14 aprile 1999</w:t>
      </w:r>
      <w:r w:rsidR="001E1E52" w:rsidRPr="001E1E52">
        <w:rPr>
          <w:rFonts w:cs="Courier New"/>
          <w:sz w:val="20"/>
          <w:lang w:val="it-IT"/>
        </w:rPr>
        <w:t xml:space="preserve"> disciplina le “</w:t>
      </w:r>
      <w:r w:rsidR="001E1E52" w:rsidRPr="001E1E52">
        <w:rPr>
          <w:rFonts w:cs="Courier New"/>
          <w:i/>
          <w:sz w:val="20"/>
          <w:lang w:val="it-IT"/>
        </w:rPr>
        <w:t>Risorse per le politiche di sviluppo delle risorse umane e per la produttività</w:t>
      </w:r>
      <w:r w:rsidR="001E1E52" w:rsidRPr="001E1E52">
        <w:rPr>
          <w:rFonts w:cs="Courier New"/>
          <w:sz w:val="20"/>
          <w:lang w:val="it-IT"/>
        </w:rPr>
        <w:t>”</w:t>
      </w:r>
      <w:r w:rsidR="001E1E52" w:rsidRPr="001E1E52">
        <w:rPr>
          <w:lang w:val="it-IT"/>
        </w:rPr>
        <w:t xml:space="preserve"> </w:t>
      </w:r>
      <w:r w:rsidR="001E1E52" w:rsidRPr="001E1E52">
        <w:rPr>
          <w:sz w:val="20"/>
          <w:lang w:val="it-IT"/>
        </w:rPr>
        <w:t>prevedendo che p</w:t>
      </w:r>
      <w:r w:rsidR="001E1E52" w:rsidRPr="001E1E52">
        <w:rPr>
          <w:rFonts w:cs="Courier New"/>
          <w:sz w:val="20"/>
          <w:lang w:val="it-IT"/>
        </w:rPr>
        <w:t xml:space="preserve">resso ciascun ente determinate risorse siano destinate, tra l’altro, a sostenere le iniziative rivolte a migliorare la produttività, l'efficienza e l'efficacia dei servizi (comma </w:t>
      </w:r>
      <w:proofErr w:type="gramStart"/>
      <w:r w:rsidR="001E1E52" w:rsidRPr="001E1E52">
        <w:rPr>
          <w:rFonts w:cs="Courier New"/>
          <w:sz w:val="20"/>
          <w:lang w:val="it-IT"/>
        </w:rPr>
        <w:t>1</w:t>
      </w:r>
      <w:proofErr w:type="gramEnd"/>
      <w:r w:rsidR="001E1E52" w:rsidRPr="001E1E52">
        <w:rPr>
          <w:rFonts w:cs="Courier New"/>
          <w:sz w:val="20"/>
          <w:lang w:val="it-IT"/>
        </w:rPr>
        <w:t xml:space="preserve">). I commi </w:t>
      </w:r>
      <w:proofErr w:type="gramStart"/>
      <w:r w:rsidR="001E1E52" w:rsidRPr="001E1E52">
        <w:rPr>
          <w:rFonts w:cs="Courier New"/>
          <w:sz w:val="20"/>
          <w:lang w:val="it-IT"/>
        </w:rPr>
        <w:t>2</w:t>
      </w:r>
      <w:proofErr w:type="gramEnd"/>
      <w:r w:rsidR="001E1E52" w:rsidRPr="001E1E52">
        <w:rPr>
          <w:rFonts w:cs="Courier New"/>
          <w:sz w:val="20"/>
          <w:lang w:val="it-IT"/>
        </w:rPr>
        <w:t xml:space="preserve"> e 5, richiamati nella richiesta di parere, stabiliscono poi alcune condizioni (e limiti)</w:t>
      </w:r>
      <w:r w:rsidR="00721EF0">
        <w:rPr>
          <w:rFonts w:cs="Courier New"/>
          <w:sz w:val="20"/>
          <w:lang w:val="it-IT"/>
        </w:rPr>
        <w:t xml:space="preserve"> di integrazione di tale fondo.</w:t>
      </w:r>
      <w:r w:rsidR="001E1E52" w:rsidRPr="001E1E52">
        <w:rPr>
          <w:rFonts w:cs="Courier New"/>
          <w:sz w:val="20"/>
          <w:lang w:val="it-IT"/>
        </w:rPr>
        <w:t xml:space="preserve"> </w:t>
      </w:r>
      <w:r w:rsidR="00721EF0">
        <w:rPr>
          <w:sz w:val="20"/>
          <w:lang w:val="it-IT"/>
        </w:rPr>
        <w:t>R</w:t>
      </w:r>
      <w:r w:rsidR="00721EF0" w:rsidRPr="00721EF0">
        <w:rPr>
          <w:sz w:val="20"/>
          <w:lang w:val="it-IT"/>
        </w:rPr>
        <w:t xml:space="preserve">ileva al riguardo anche l’art. 31 del CCNL del comparto delle Regioni e delle Autonomie locali del 22 gennaio 2004 che </w:t>
      </w:r>
      <w:proofErr w:type="gramStart"/>
      <w:r w:rsidR="00721EF0" w:rsidRPr="00721EF0">
        <w:rPr>
          <w:sz w:val="20"/>
          <w:lang w:val="it-IT"/>
        </w:rPr>
        <w:t>effettua</w:t>
      </w:r>
      <w:proofErr w:type="gramEnd"/>
      <w:r w:rsidR="00721EF0" w:rsidRPr="00721EF0">
        <w:rPr>
          <w:sz w:val="20"/>
          <w:lang w:val="it-IT"/>
        </w:rPr>
        <w:t xml:space="preserve"> la ricognizione di tutte le risorse oggetto di contrattazione decentrata e che include tutte le risorse finanziarie destinate alla incentivazione delle politiche di sviluppo delle risorse umane e della produttività comprensive sia di quelle aventi carattere di certezza, stabilità e continuità, sia di quelle aventi caratteristiche di eventualità e di variabilità</w:t>
      </w:r>
      <w:r w:rsidR="00721EF0">
        <w:rPr>
          <w:sz w:val="20"/>
          <w:lang w:val="it-IT"/>
        </w:rPr>
        <w:t>.</w:t>
      </w:r>
    </w:p>
    <w:p w:rsidR="001E1E52" w:rsidRPr="001E1E52" w:rsidRDefault="001E1E52" w:rsidP="001E1E52">
      <w:pPr>
        <w:autoSpaceDE w:val="0"/>
        <w:autoSpaceDN w:val="0"/>
        <w:adjustRightInd w:val="0"/>
        <w:spacing w:line="480" w:lineRule="auto"/>
        <w:jc w:val="both"/>
        <w:rPr>
          <w:sz w:val="20"/>
          <w:lang w:val="it-IT"/>
        </w:rPr>
      </w:pPr>
      <w:r>
        <w:rPr>
          <w:rFonts w:cs="Courier New"/>
          <w:sz w:val="20"/>
          <w:lang w:val="it-IT"/>
        </w:rPr>
        <w:t>Impregiudicata l’interpretazione delle norme di contrattazione collettiva che</w:t>
      </w:r>
      <w:r w:rsidRPr="001E1E52">
        <w:rPr>
          <w:rFonts w:cs="Courier New"/>
          <w:sz w:val="20"/>
          <w:lang w:val="it-IT"/>
        </w:rPr>
        <w:t xml:space="preserve"> esulano dalla funzione consultiva attribuita alla Corte</w:t>
      </w:r>
      <w:r w:rsidR="00CE148C">
        <w:rPr>
          <w:rFonts w:cs="Courier New"/>
          <w:sz w:val="20"/>
          <w:lang w:val="it-IT"/>
        </w:rPr>
        <w:t xml:space="preserve">, essendo previsto un </w:t>
      </w:r>
      <w:proofErr w:type="gramStart"/>
      <w:r w:rsidR="00CE148C">
        <w:rPr>
          <w:rFonts w:cs="Courier New"/>
          <w:sz w:val="20"/>
          <w:lang w:val="it-IT"/>
        </w:rPr>
        <w:t>apposito</w:t>
      </w:r>
      <w:proofErr w:type="gramEnd"/>
      <w:r w:rsidR="00CE148C">
        <w:rPr>
          <w:rFonts w:cs="Courier New"/>
          <w:sz w:val="20"/>
          <w:lang w:val="it-IT"/>
        </w:rPr>
        <w:t xml:space="preserve"> procedimento di interpretazione autentica dall’art. 49 del d. </w:t>
      </w:r>
      <w:proofErr w:type="spellStart"/>
      <w:r w:rsidR="00CE148C">
        <w:rPr>
          <w:rFonts w:cs="Courier New"/>
          <w:sz w:val="20"/>
          <w:lang w:val="it-IT"/>
        </w:rPr>
        <w:t>lgs</w:t>
      </w:r>
      <w:proofErr w:type="spellEnd"/>
      <w:r w:rsidR="00CE148C">
        <w:rPr>
          <w:rFonts w:cs="Courier New"/>
          <w:sz w:val="20"/>
          <w:lang w:val="it-IT"/>
        </w:rPr>
        <w:t>. N. 165/2001</w:t>
      </w:r>
      <w:r w:rsidR="008A41D3">
        <w:rPr>
          <w:rFonts w:cs="Courier New"/>
          <w:sz w:val="20"/>
          <w:lang w:val="it-IT"/>
        </w:rPr>
        <w:t xml:space="preserve">, </w:t>
      </w:r>
      <w:r w:rsidR="00721EF0">
        <w:rPr>
          <w:sz w:val="20"/>
          <w:lang w:val="it-IT"/>
        </w:rPr>
        <w:t>l</w:t>
      </w:r>
      <w:r w:rsidR="00721EF0" w:rsidRPr="001E1E52">
        <w:rPr>
          <w:rFonts w:cs="Verdana"/>
          <w:color w:val="000000"/>
          <w:sz w:val="20"/>
          <w:lang w:val="it-IT"/>
        </w:rPr>
        <w:t>e Sezioni Riunite, in sede nomofilattic</w:t>
      </w:r>
      <w:r w:rsidR="00721EF0">
        <w:rPr>
          <w:rFonts w:cs="Verdana"/>
          <w:color w:val="000000"/>
          <w:sz w:val="20"/>
          <w:lang w:val="it-IT"/>
        </w:rPr>
        <w:t>a</w:t>
      </w:r>
      <w:r w:rsidR="00721EF0" w:rsidRPr="001E1E52">
        <w:rPr>
          <w:rFonts w:cs="Verdana"/>
          <w:color w:val="000000"/>
          <w:sz w:val="20"/>
          <w:lang w:val="it-IT"/>
        </w:rPr>
        <w:t xml:space="preserve">, si </w:t>
      </w:r>
      <w:proofErr w:type="gramStart"/>
      <w:r w:rsidR="00721EF0" w:rsidRPr="001E1E52">
        <w:rPr>
          <w:rFonts w:cs="Verdana"/>
          <w:color w:val="000000"/>
          <w:sz w:val="20"/>
          <w:lang w:val="it-IT"/>
        </w:rPr>
        <w:t>sono</w:t>
      </w:r>
      <w:proofErr w:type="gramEnd"/>
      <w:r w:rsidR="00721EF0" w:rsidRPr="001E1E52">
        <w:rPr>
          <w:rFonts w:cs="Verdana"/>
          <w:color w:val="000000"/>
          <w:sz w:val="20"/>
          <w:lang w:val="it-IT"/>
        </w:rPr>
        <w:t xml:space="preserve"> espresse </w:t>
      </w:r>
      <w:r w:rsidR="00721EF0">
        <w:rPr>
          <w:rFonts w:cs="Verdana"/>
          <w:color w:val="000000"/>
          <w:sz w:val="20"/>
          <w:lang w:val="it-IT"/>
        </w:rPr>
        <w:t>(</w:t>
      </w:r>
      <w:r w:rsidR="00721EF0" w:rsidRPr="001E1E52">
        <w:rPr>
          <w:rFonts w:cs="Verdana"/>
          <w:color w:val="000000"/>
          <w:sz w:val="20"/>
          <w:lang w:val="it-IT"/>
        </w:rPr>
        <w:t>QM 51/CONTR/11, 4 ottobre 2011</w:t>
      </w:r>
      <w:r w:rsidR="00721EF0">
        <w:rPr>
          <w:rFonts w:cs="Verdana"/>
          <w:color w:val="000000"/>
          <w:sz w:val="20"/>
          <w:lang w:val="it-IT"/>
        </w:rPr>
        <w:t xml:space="preserve">) </w:t>
      </w:r>
      <w:r w:rsidR="008A41D3">
        <w:rPr>
          <w:rFonts w:cs="Courier New"/>
          <w:sz w:val="20"/>
          <w:lang w:val="it-IT"/>
        </w:rPr>
        <w:t>c</w:t>
      </w:r>
      <w:r>
        <w:rPr>
          <w:rFonts w:cs="Verdana"/>
          <w:color w:val="000000"/>
          <w:sz w:val="20"/>
          <w:lang w:val="it-IT"/>
        </w:rPr>
        <w:t xml:space="preserve">on riferimento alla portata applicativa dell’art. 9, comma </w:t>
      </w:r>
      <w:r>
        <w:rPr>
          <w:sz w:val="20"/>
          <w:lang w:val="it-IT"/>
        </w:rPr>
        <w:t xml:space="preserve">bis, del </w:t>
      </w:r>
      <w:proofErr w:type="spellStart"/>
      <w:r>
        <w:rPr>
          <w:sz w:val="20"/>
          <w:lang w:val="it-IT"/>
        </w:rPr>
        <w:t>d</w:t>
      </w:r>
      <w:r w:rsidRPr="001E1E52">
        <w:rPr>
          <w:sz w:val="20"/>
          <w:lang w:val="it-IT"/>
        </w:rPr>
        <w:t>.</w:t>
      </w:r>
      <w:r>
        <w:rPr>
          <w:sz w:val="20"/>
          <w:lang w:val="it-IT"/>
        </w:rPr>
        <w:t>l</w:t>
      </w:r>
      <w:r w:rsidRPr="001E1E52">
        <w:rPr>
          <w:sz w:val="20"/>
          <w:lang w:val="it-IT"/>
        </w:rPr>
        <w:t>.</w:t>
      </w:r>
      <w:proofErr w:type="spellEnd"/>
      <w:r w:rsidRPr="001E1E52">
        <w:rPr>
          <w:sz w:val="20"/>
          <w:lang w:val="it-IT"/>
        </w:rPr>
        <w:t xml:space="preserve"> n. 78/2010, convertito con modificazioni </w:t>
      </w:r>
      <w:r>
        <w:rPr>
          <w:sz w:val="20"/>
          <w:lang w:val="it-IT"/>
        </w:rPr>
        <w:t xml:space="preserve">nella legge n. 122/2010 </w:t>
      </w:r>
      <w:r w:rsidR="00721EF0">
        <w:rPr>
          <w:sz w:val="20"/>
          <w:lang w:val="it-IT"/>
        </w:rPr>
        <w:t>(</w:t>
      </w:r>
      <w:proofErr w:type="gramStart"/>
      <w:r w:rsidRPr="001E1E52">
        <w:rPr>
          <w:sz w:val="20"/>
          <w:lang w:val="it-IT"/>
        </w:rPr>
        <w:t>successivamente</w:t>
      </w:r>
      <w:proofErr w:type="gramEnd"/>
      <w:r w:rsidRPr="001E1E52">
        <w:rPr>
          <w:sz w:val="20"/>
          <w:lang w:val="it-IT"/>
        </w:rPr>
        <w:t xml:space="preserve"> modificato dall’art. 1, comma 456, della legge n. 147/2013</w:t>
      </w:r>
      <w:r w:rsidR="00721EF0">
        <w:rPr>
          <w:sz w:val="20"/>
          <w:lang w:val="it-IT"/>
        </w:rPr>
        <w:t>, che ha individuato</w:t>
      </w:r>
      <w:r>
        <w:rPr>
          <w:sz w:val="20"/>
          <w:lang w:val="it-IT"/>
        </w:rPr>
        <w:t xml:space="preserve"> nel 31 dicembre 2014, anziché nel 31 dicembre 2013, il termine finale di vigenza </w:t>
      </w:r>
      <w:r>
        <w:rPr>
          <w:sz w:val="20"/>
          <w:lang w:val="it-IT"/>
        </w:rPr>
        <w:lastRenderedPageBreak/>
        <w:t>della disposizione</w:t>
      </w:r>
      <w:proofErr w:type="gramStart"/>
      <w:r w:rsidR="00721EF0">
        <w:rPr>
          <w:sz w:val="20"/>
          <w:lang w:val="it-IT"/>
        </w:rPr>
        <w:t>)</w:t>
      </w:r>
      <w:r w:rsidRPr="001E1E52">
        <w:rPr>
          <w:rFonts w:cs="Verdana"/>
          <w:color w:val="000000"/>
          <w:sz w:val="20"/>
          <w:lang w:val="it-IT"/>
        </w:rPr>
        <w:t>.</w:t>
      </w:r>
      <w:proofErr w:type="gramEnd"/>
      <w:r w:rsidRPr="001E1E52">
        <w:rPr>
          <w:rFonts w:cs="Verdana"/>
          <w:color w:val="000000"/>
          <w:sz w:val="20"/>
          <w:lang w:val="it-IT"/>
        </w:rPr>
        <w:t xml:space="preserve"> </w:t>
      </w:r>
      <w:r w:rsidR="00721EF0">
        <w:rPr>
          <w:rFonts w:cs="Verdana"/>
          <w:color w:val="000000"/>
          <w:sz w:val="20"/>
          <w:lang w:val="it-IT"/>
        </w:rPr>
        <w:t>In particolare le Sezioni Riunite</w:t>
      </w:r>
      <w:r>
        <w:rPr>
          <w:rFonts w:cs="Verdana"/>
          <w:color w:val="000000"/>
          <w:sz w:val="20"/>
          <w:lang w:val="it-IT"/>
        </w:rPr>
        <w:t xml:space="preserve"> </w:t>
      </w:r>
      <w:r w:rsidRPr="001E1E52">
        <w:rPr>
          <w:sz w:val="20"/>
          <w:lang w:val="it-IT"/>
        </w:rPr>
        <w:t xml:space="preserve">hanno affermato il principio secondo cui deve ritenersi che la disposizione di cui </w:t>
      </w:r>
      <w:proofErr w:type="gramStart"/>
      <w:r w:rsidRPr="001E1E52">
        <w:rPr>
          <w:sz w:val="20"/>
          <w:lang w:val="it-IT"/>
        </w:rPr>
        <w:t>al citato art</w:t>
      </w:r>
      <w:proofErr w:type="gramEnd"/>
      <w:r w:rsidRPr="001E1E52">
        <w:rPr>
          <w:sz w:val="20"/>
          <w:lang w:val="it-IT"/>
        </w:rPr>
        <w:t>. 9, comma 2-</w:t>
      </w:r>
      <w:r w:rsidRPr="001E1E52">
        <w:rPr>
          <w:i/>
          <w:iCs/>
          <w:sz w:val="20"/>
          <w:lang w:val="it-IT"/>
        </w:rPr>
        <w:t>bis</w:t>
      </w:r>
      <w:r w:rsidRPr="001E1E52">
        <w:rPr>
          <w:sz w:val="20"/>
          <w:lang w:val="it-IT"/>
        </w:rPr>
        <w:t xml:space="preserve">, del D.L. 31 maggio 2010, n. 78 sia disposizione di stretta interpretazione; sicché, in via di principio, essa non sembra possa ammettere deroghe o esclusioni, </w:t>
      </w:r>
      <w:proofErr w:type="gramStart"/>
      <w:r w:rsidRPr="001E1E52">
        <w:rPr>
          <w:sz w:val="20"/>
          <w:lang w:val="it-IT"/>
        </w:rPr>
        <w:t>in quanto</w:t>
      </w:r>
      <w:proofErr w:type="gramEnd"/>
      <w:r w:rsidRPr="001E1E52">
        <w:rPr>
          <w:sz w:val="20"/>
          <w:lang w:val="it-IT"/>
        </w:rPr>
        <w:t xml:space="preserve"> la regola generale voluta dal legislatore è quella di porre un limite alla crescita dei fondi della contrattazione integrativa destinati alla generalità dei dipendenti dell’Ente pubblico.</w:t>
      </w:r>
    </w:p>
    <w:p w:rsidR="001E1E52" w:rsidRPr="001E1E52" w:rsidRDefault="001E1E52" w:rsidP="001E1E52">
      <w:pPr>
        <w:autoSpaceDE w:val="0"/>
        <w:autoSpaceDN w:val="0"/>
        <w:adjustRightInd w:val="0"/>
        <w:spacing w:line="480" w:lineRule="auto"/>
        <w:jc w:val="both"/>
        <w:rPr>
          <w:iCs/>
          <w:sz w:val="20"/>
          <w:lang w:val="it-IT"/>
        </w:rPr>
      </w:pPr>
      <w:r w:rsidRPr="001E1E52">
        <w:rPr>
          <w:rFonts w:cs="Verdana"/>
          <w:color w:val="000000"/>
          <w:sz w:val="20"/>
          <w:lang w:val="it-IT"/>
        </w:rPr>
        <w:t>Come più volte precisato da questa Sezione (</w:t>
      </w:r>
      <w:r w:rsidR="00721EF0">
        <w:rPr>
          <w:rFonts w:cs="Verdana"/>
          <w:color w:val="000000"/>
          <w:sz w:val="20"/>
          <w:lang w:val="it-IT"/>
        </w:rPr>
        <w:t>si rinvia, per tutte, alle d</w:t>
      </w:r>
      <w:r w:rsidRPr="008A41D3">
        <w:rPr>
          <w:rFonts w:cs="Verdana"/>
          <w:color w:val="000000"/>
          <w:sz w:val="20"/>
          <w:lang w:val="it-IT"/>
        </w:rPr>
        <w:t>elibere n. 608, 609, 611 e 635 del 2011 e alla delibera n. 59/2012), co</w:t>
      </w:r>
      <w:r w:rsidRPr="001E1E52">
        <w:rPr>
          <w:rFonts w:cs="Verdana"/>
          <w:color w:val="000000"/>
          <w:sz w:val="20"/>
          <w:lang w:val="it-IT"/>
        </w:rPr>
        <w:t xml:space="preserve">n l’art. 9, comma 2-bis, del D.L. n. 78 del 2010 si introduce </w:t>
      </w:r>
      <w:r w:rsidRPr="001E1E52">
        <w:rPr>
          <w:sz w:val="20"/>
          <w:lang w:val="it-IT"/>
        </w:rPr>
        <w:t>il divieto di superamento dell’ammontare delle risorse destinate annualmente al trattamento accessorio del personale rispetto al corrispondente importo dell’anno 2010. Viene, in sostanza, introdotto il</w:t>
      </w:r>
      <w:r w:rsidRPr="001E1E52">
        <w:rPr>
          <w:iCs/>
          <w:sz w:val="20"/>
          <w:lang w:val="it-IT"/>
        </w:rPr>
        <w:t xml:space="preserve"> principio di invarianza della spesa relativa al trattamento accessorio del personale avendo come parametro di riferimento la somma destinata al trattamento accessorio nell’anno 2010.</w:t>
      </w:r>
    </w:p>
    <w:p w:rsidR="001E1E52" w:rsidRPr="001E1E52" w:rsidRDefault="001E1E52" w:rsidP="001E1E52">
      <w:pPr>
        <w:autoSpaceDE w:val="0"/>
        <w:autoSpaceDN w:val="0"/>
        <w:adjustRightInd w:val="0"/>
        <w:spacing w:line="480" w:lineRule="auto"/>
        <w:jc w:val="both"/>
        <w:rPr>
          <w:rFonts w:cs="Courier New"/>
          <w:sz w:val="20"/>
          <w:lang w:val="it-IT"/>
        </w:rPr>
      </w:pPr>
      <w:r w:rsidRPr="001E1E52">
        <w:rPr>
          <w:rFonts w:cs="Courier New"/>
          <w:sz w:val="20"/>
          <w:lang w:val="it-IT"/>
        </w:rPr>
        <w:t xml:space="preserve">L’art. 9, comma 2 </w:t>
      </w:r>
      <w:r w:rsidRPr="00400C2A">
        <w:rPr>
          <w:rFonts w:cs="Courier New"/>
          <w:i/>
          <w:sz w:val="20"/>
          <w:lang w:val="it-IT"/>
        </w:rPr>
        <w:t>bis</w:t>
      </w:r>
      <w:r w:rsidRPr="001E1E52">
        <w:rPr>
          <w:rFonts w:cs="Courier New"/>
          <w:sz w:val="20"/>
          <w:lang w:val="it-IT"/>
        </w:rPr>
        <w:t>, D.L. n. 78/2010 introduce poi un ulteriore limite disponendo che l’ammontare complessivo delle risorse destinate annualmente al trattamento accessorio del personale è “</w:t>
      </w:r>
      <w:r w:rsidRPr="001E1E52">
        <w:rPr>
          <w:rFonts w:cs="Courier New"/>
          <w:i/>
          <w:sz w:val="20"/>
          <w:lang w:val="it-IT"/>
        </w:rPr>
        <w:t>automaticamente ridotto in misura proporzionale alla riduzione del personale in servizio</w:t>
      </w:r>
      <w:r w:rsidRPr="001E1E52">
        <w:rPr>
          <w:rFonts w:cs="Courier New"/>
          <w:sz w:val="20"/>
          <w:lang w:val="it-IT"/>
        </w:rPr>
        <w:t xml:space="preserve">”. </w:t>
      </w:r>
      <w:r w:rsidRPr="001E1E52">
        <w:rPr>
          <w:iCs/>
          <w:sz w:val="20"/>
          <w:lang w:val="it-IT"/>
        </w:rPr>
        <w:t>Ciò per evitare che i soggetti rimasti alle dipendenze dell’ente fruiscano di una quota sensibilmente maggiore di risorse, essendosi ridotti i potenziali beneficiari, con conseguente ingiustificato aggravio della spesa.</w:t>
      </w:r>
    </w:p>
    <w:p w:rsidR="001E1E52" w:rsidRPr="001E1E52" w:rsidRDefault="001E1E52" w:rsidP="001E1E52">
      <w:pPr>
        <w:autoSpaceDE w:val="0"/>
        <w:autoSpaceDN w:val="0"/>
        <w:adjustRightInd w:val="0"/>
        <w:spacing w:line="480" w:lineRule="auto"/>
        <w:jc w:val="both"/>
        <w:rPr>
          <w:rFonts w:cs="Courier New"/>
          <w:sz w:val="20"/>
          <w:lang w:val="it-IT"/>
        </w:rPr>
      </w:pPr>
      <w:r w:rsidRPr="001E1E52">
        <w:rPr>
          <w:iCs/>
          <w:sz w:val="20"/>
          <w:lang w:val="it-IT"/>
        </w:rPr>
        <w:t xml:space="preserve">L’ente locale è tenuto a rispettare entrambi i vincoli imposti dal legislatore con l’art. 9, comma 2 </w:t>
      </w:r>
      <w:r w:rsidRPr="001E1E52">
        <w:rPr>
          <w:i/>
          <w:iCs/>
          <w:sz w:val="20"/>
          <w:lang w:val="it-IT"/>
        </w:rPr>
        <w:t>bis</w:t>
      </w:r>
      <w:r w:rsidRPr="001E1E52">
        <w:rPr>
          <w:iCs/>
          <w:sz w:val="20"/>
          <w:lang w:val="it-IT"/>
        </w:rPr>
        <w:t xml:space="preserve"> citato</w:t>
      </w:r>
      <w:r w:rsidR="00721EF0">
        <w:rPr>
          <w:iCs/>
          <w:sz w:val="20"/>
          <w:lang w:val="it-IT"/>
        </w:rPr>
        <w:t xml:space="preserve"> (invarianza della spesa relativa al trattamento accessorio e riduzione della medesima in caso di contrazione del personale)</w:t>
      </w:r>
      <w:r w:rsidRPr="001E1E52">
        <w:rPr>
          <w:iCs/>
          <w:sz w:val="20"/>
          <w:lang w:val="it-IT"/>
        </w:rPr>
        <w:t>. In particolare la decurtazione del fondo deve essere disposta</w:t>
      </w:r>
      <w:r w:rsidR="008A41D3">
        <w:rPr>
          <w:iCs/>
          <w:sz w:val="20"/>
          <w:lang w:val="it-IT"/>
        </w:rPr>
        <w:t xml:space="preserve"> </w:t>
      </w:r>
      <w:r w:rsidRPr="001E1E52">
        <w:rPr>
          <w:iCs/>
          <w:sz w:val="20"/>
          <w:lang w:val="it-IT"/>
        </w:rPr>
        <w:t>in funzione e in proporzione alla riduzione del personale</w:t>
      </w:r>
      <w:r w:rsidR="008A41D3">
        <w:rPr>
          <w:iCs/>
          <w:sz w:val="20"/>
          <w:lang w:val="it-IT"/>
        </w:rPr>
        <w:t xml:space="preserve"> e </w:t>
      </w:r>
      <w:r w:rsidR="00721EF0">
        <w:rPr>
          <w:iCs/>
          <w:sz w:val="20"/>
          <w:lang w:val="it-IT"/>
        </w:rPr>
        <w:t xml:space="preserve">deve riguardare </w:t>
      </w:r>
      <w:r w:rsidR="008A41D3" w:rsidRPr="001E1E52">
        <w:rPr>
          <w:iCs/>
          <w:sz w:val="20"/>
          <w:lang w:val="it-IT"/>
        </w:rPr>
        <w:t xml:space="preserve">il fondo </w:t>
      </w:r>
      <w:r w:rsidR="008A41D3" w:rsidRPr="001E1E52">
        <w:rPr>
          <w:rFonts w:cs="Courier New"/>
          <w:sz w:val="20"/>
          <w:lang w:val="it-IT"/>
        </w:rPr>
        <w:t>destinato a</w:t>
      </w:r>
      <w:r w:rsidR="00721EF0">
        <w:rPr>
          <w:rFonts w:cs="Courier New"/>
          <w:sz w:val="20"/>
          <w:lang w:val="it-IT"/>
        </w:rPr>
        <w:t>l</w:t>
      </w:r>
      <w:r w:rsidR="008A41D3" w:rsidRPr="001E1E52">
        <w:rPr>
          <w:rFonts w:cs="Courier New"/>
          <w:sz w:val="20"/>
          <w:lang w:val="it-IT"/>
        </w:rPr>
        <w:t xml:space="preserve"> trattament</w:t>
      </w:r>
      <w:r w:rsidR="00721EF0">
        <w:rPr>
          <w:rFonts w:cs="Courier New"/>
          <w:sz w:val="20"/>
          <w:lang w:val="it-IT"/>
        </w:rPr>
        <w:t>o</w:t>
      </w:r>
      <w:r w:rsidR="008A41D3" w:rsidRPr="001E1E52">
        <w:rPr>
          <w:rFonts w:cs="Courier New"/>
          <w:sz w:val="20"/>
          <w:lang w:val="it-IT"/>
        </w:rPr>
        <w:t xml:space="preserve"> accessori</w:t>
      </w:r>
      <w:r w:rsidR="00721EF0">
        <w:rPr>
          <w:rFonts w:cs="Courier New"/>
          <w:sz w:val="20"/>
          <w:lang w:val="it-IT"/>
        </w:rPr>
        <w:t>o</w:t>
      </w:r>
      <w:r w:rsidR="008A41D3" w:rsidRPr="001E1E52">
        <w:rPr>
          <w:rFonts w:cs="Courier New"/>
          <w:sz w:val="20"/>
          <w:lang w:val="it-IT"/>
        </w:rPr>
        <w:t xml:space="preserve"> del personale</w:t>
      </w:r>
      <w:r w:rsidR="008A41D3" w:rsidRPr="001E1E52">
        <w:rPr>
          <w:iCs/>
          <w:sz w:val="20"/>
          <w:lang w:val="it-IT"/>
        </w:rPr>
        <w:t xml:space="preserve"> nel suo complesso</w:t>
      </w:r>
      <w:r w:rsidR="008A41D3">
        <w:rPr>
          <w:iCs/>
          <w:sz w:val="20"/>
          <w:lang w:val="it-IT"/>
        </w:rPr>
        <w:t>. Né rilevano</w:t>
      </w:r>
      <w:r w:rsidRPr="001E1E52">
        <w:rPr>
          <w:rFonts w:cs="Courier New"/>
          <w:sz w:val="20"/>
          <w:lang w:val="it-IT"/>
        </w:rPr>
        <w:t xml:space="preserve"> le ulteriori distinzioni, alle quali si riferisce la richiesta di parere del Sindaco del Comune di Cinisello Balsamo</w:t>
      </w:r>
      <w:r w:rsidR="008A41D3">
        <w:rPr>
          <w:rFonts w:cs="Courier New"/>
          <w:sz w:val="20"/>
          <w:lang w:val="it-IT"/>
        </w:rPr>
        <w:t xml:space="preserve"> ma che non trovano alcun riconoscimento a livello legislativo</w:t>
      </w:r>
      <w:r w:rsidRPr="001E1E52">
        <w:rPr>
          <w:rFonts w:cs="Courier New"/>
          <w:sz w:val="20"/>
          <w:lang w:val="it-IT"/>
        </w:rPr>
        <w:t>, basate sul carattere, variabile o stabile, delle risorse che confluiscono nel fondo medesimo</w:t>
      </w:r>
      <w:r w:rsidR="008A41D3">
        <w:rPr>
          <w:rFonts w:cs="Courier New"/>
          <w:sz w:val="20"/>
          <w:lang w:val="it-IT"/>
        </w:rPr>
        <w:t xml:space="preserve"> </w:t>
      </w:r>
      <w:r w:rsidR="008A41D3" w:rsidRPr="001E1E52">
        <w:rPr>
          <w:iCs/>
          <w:sz w:val="20"/>
          <w:lang w:val="it-IT"/>
        </w:rPr>
        <w:t>(in termini, Corte dei Conti, Sezione regionale di controllo per il Piemonte, delibera n. 48/2013)</w:t>
      </w:r>
      <w:r w:rsidRPr="001E1E52">
        <w:rPr>
          <w:rFonts w:cs="Courier New"/>
          <w:sz w:val="20"/>
          <w:lang w:val="it-IT"/>
        </w:rPr>
        <w:t xml:space="preserve">. Tali </w:t>
      </w:r>
      <w:r w:rsidRPr="001E1E52">
        <w:rPr>
          <w:rFonts w:cs="Courier New"/>
          <w:sz w:val="20"/>
          <w:lang w:val="it-IT"/>
        </w:rPr>
        <w:lastRenderedPageBreak/>
        <w:t>qualificazioni, peraltro, trovano fondamento in norme della contrattazione collettiva, sulle quali, come già precisato, non è dato a questa Corte pronunciarsi.</w:t>
      </w:r>
    </w:p>
    <w:p w:rsidR="003B7680" w:rsidRPr="00F53B02" w:rsidRDefault="003B7680" w:rsidP="003B7680">
      <w:pPr>
        <w:spacing w:line="360" w:lineRule="auto"/>
        <w:ind w:firstLine="142"/>
        <w:jc w:val="center"/>
        <w:rPr>
          <w:sz w:val="20"/>
          <w:lang w:val="it-IT"/>
        </w:rPr>
      </w:pPr>
      <w:r w:rsidRPr="00F53B02">
        <w:rPr>
          <w:b/>
          <w:sz w:val="20"/>
          <w:lang w:val="it-IT"/>
        </w:rPr>
        <w:t>P.Q.M.</w:t>
      </w:r>
    </w:p>
    <w:p w:rsidR="003B7680" w:rsidRDefault="003B7680" w:rsidP="003B7680">
      <w:pPr>
        <w:spacing w:line="360" w:lineRule="auto"/>
        <w:ind w:firstLine="567"/>
        <w:jc w:val="center"/>
        <w:rPr>
          <w:sz w:val="20"/>
          <w:lang w:val="it-IT"/>
        </w:rPr>
      </w:pPr>
      <w:r w:rsidRPr="00F53B02">
        <w:rPr>
          <w:sz w:val="20"/>
          <w:lang w:val="it-IT"/>
        </w:rPr>
        <w:t>nelle considerazioni es</w:t>
      </w:r>
      <w:r>
        <w:rPr>
          <w:sz w:val="20"/>
          <w:lang w:val="it-IT"/>
        </w:rPr>
        <w:t>poste è il parere della Sezione.</w:t>
      </w:r>
    </w:p>
    <w:p w:rsidR="003B7680" w:rsidRDefault="003B7680" w:rsidP="003B7680">
      <w:pPr>
        <w:spacing w:line="360" w:lineRule="auto"/>
        <w:ind w:firstLine="567"/>
        <w:jc w:val="center"/>
        <w:rPr>
          <w:sz w:val="20"/>
          <w:lang w:val="it-IT"/>
        </w:rPr>
      </w:pPr>
      <w:r w:rsidRPr="00F53B02">
        <w:rPr>
          <w:sz w:val="20"/>
          <w:lang w:val="it-IT"/>
        </w:rPr>
        <w:cr/>
        <w:t>Il Relatore</w:t>
      </w:r>
      <w:r w:rsidRPr="00F53B02">
        <w:rPr>
          <w:sz w:val="20"/>
          <w:lang w:val="it-IT"/>
        </w:rPr>
        <w:tab/>
      </w:r>
      <w:r w:rsidRPr="00F53B02">
        <w:rPr>
          <w:sz w:val="20"/>
          <w:lang w:val="it-IT"/>
        </w:rPr>
        <w:tab/>
      </w:r>
      <w:r w:rsidRPr="00F53B02">
        <w:rPr>
          <w:sz w:val="20"/>
          <w:lang w:val="it-IT"/>
        </w:rPr>
        <w:tab/>
      </w:r>
      <w:r w:rsidRPr="00F53B02">
        <w:rPr>
          <w:sz w:val="20"/>
          <w:lang w:val="it-IT"/>
        </w:rPr>
        <w:tab/>
      </w:r>
      <w:r w:rsidRPr="00F53B02">
        <w:rPr>
          <w:sz w:val="20"/>
          <w:lang w:val="it-IT"/>
        </w:rPr>
        <w:tab/>
        <w:t>Il Presidente</w:t>
      </w:r>
      <w:r w:rsidRPr="00F53B02">
        <w:rPr>
          <w:sz w:val="20"/>
          <w:lang w:val="it-IT"/>
        </w:rPr>
        <w:cr/>
        <w:t>(</w:t>
      </w:r>
      <w:r>
        <w:rPr>
          <w:sz w:val="20"/>
          <w:lang w:val="it-IT"/>
        </w:rPr>
        <w:t>Sara Raffaella Molinaro</w:t>
      </w:r>
      <w:r w:rsidRPr="00F53B02">
        <w:rPr>
          <w:sz w:val="20"/>
          <w:lang w:val="it-IT"/>
        </w:rPr>
        <w:t>)</w:t>
      </w:r>
      <w:r w:rsidRPr="00F53B02">
        <w:rPr>
          <w:sz w:val="20"/>
          <w:lang w:val="it-IT"/>
        </w:rPr>
        <w:tab/>
      </w:r>
      <w:r w:rsidRPr="00F53B02">
        <w:rPr>
          <w:sz w:val="20"/>
          <w:lang w:val="it-IT"/>
        </w:rPr>
        <w:tab/>
      </w:r>
      <w:r w:rsidRPr="00F53B02">
        <w:rPr>
          <w:sz w:val="20"/>
          <w:lang w:val="it-IT"/>
        </w:rPr>
        <w:tab/>
      </w:r>
      <w:r w:rsidRPr="00F53B02">
        <w:rPr>
          <w:sz w:val="20"/>
          <w:lang w:val="it-IT"/>
        </w:rPr>
        <w:tab/>
        <w:t>(Nicola</w:t>
      </w:r>
      <w:r>
        <w:rPr>
          <w:sz w:val="20"/>
          <w:lang w:val="it-IT"/>
        </w:rPr>
        <w:t xml:space="preserve"> </w:t>
      </w:r>
      <w:proofErr w:type="spellStart"/>
      <w:r w:rsidRPr="00F53B02">
        <w:rPr>
          <w:sz w:val="20"/>
          <w:lang w:val="it-IT"/>
        </w:rPr>
        <w:t>Mastropasqua</w:t>
      </w:r>
      <w:proofErr w:type="spellEnd"/>
      <w:r w:rsidRPr="00F53B02">
        <w:rPr>
          <w:sz w:val="20"/>
          <w:lang w:val="it-IT"/>
        </w:rPr>
        <w:t>)</w:t>
      </w:r>
    </w:p>
    <w:p w:rsidR="00727C3E" w:rsidRDefault="003B7680" w:rsidP="003B7680">
      <w:pPr>
        <w:spacing w:line="360" w:lineRule="auto"/>
        <w:ind w:firstLine="567"/>
        <w:jc w:val="center"/>
        <w:rPr>
          <w:sz w:val="20"/>
          <w:lang w:val="it-IT"/>
        </w:rPr>
      </w:pPr>
      <w:r w:rsidRPr="00F53B02">
        <w:rPr>
          <w:sz w:val="20"/>
          <w:lang w:val="it-IT"/>
        </w:rPr>
        <w:cr/>
      </w:r>
    </w:p>
    <w:p w:rsidR="00D87169" w:rsidRPr="003B7680" w:rsidRDefault="003B7680" w:rsidP="003B7680">
      <w:pPr>
        <w:spacing w:line="360" w:lineRule="auto"/>
        <w:ind w:firstLine="567"/>
        <w:jc w:val="center"/>
        <w:rPr>
          <w:lang w:val="it-IT"/>
        </w:rPr>
      </w:pPr>
      <w:r w:rsidRPr="00F53B02">
        <w:rPr>
          <w:sz w:val="20"/>
          <w:lang w:val="it-IT"/>
        </w:rPr>
        <w:t>Depositata in Segreteria</w:t>
      </w:r>
      <w:r w:rsidRPr="00F53B02">
        <w:rPr>
          <w:sz w:val="20"/>
          <w:lang w:val="it-IT"/>
        </w:rPr>
        <w:cr/>
      </w:r>
      <w:r w:rsidR="00F82724">
        <w:rPr>
          <w:sz w:val="20"/>
          <w:lang w:val="it-IT"/>
        </w:rPr>
        <w:t xml:space="preserve">         </w:t>
      </w:r>
      <w:bookmarkStart w:id="0" w:name="_GoBack"/>
      <w:bookmarkEnd w:id="0"/>
      <w:r w:rsidR="00F82724">
        <w:rPr>
          <w:sz w:val="20"/>
          <w:lang w:val="it-IT"/>
        </w:rPr>
        <w:t>11 marzo 2014</w:t>
      </w:r>
      <w:r w:rsidRPr="00F53B02">
        <w:rPr>
          <w:sz w:val="20"/>
          <w:lang w:val="it-IT"/>
        </w:rPr>
        <w:t xml:space="preserve"> </w:t>
      </w:r>
      <w:r w:rsidRPr="00F53B02">
        <w:rPr>
          <w:sz w:val="20"/>
          <w:lang w:val="it-IT"/>
        </w:rPr>
        <w:cr/>
      </w:r>
      <w:r w:rsidR="00727C3E">
        <w:rPr>
          <w:sz w:val="20"/>
          <w:lang w:val="it-IT"/>
        </w:rPr>
        <w:t xml:space="preserve">         </w:t>
      </w:r>
      <w:r w:rsidRPr="00F53B02">
        <w:rPr>
          <w:sz w:val="20"/>
          <w:lang w:val="it-IT"/>
        </w:rPr>
        <w:t>Il Direttore della Segreteria</w:t>
      </w:r>
      <w:r w:rsidRPr="00F53B02">
        <w:rPr>
          <w:sz w:val="20"/>
          <w:lang w:val="it-IT"/>
        </w:rPr>
        <w:cr/>
      </w:r>
      <w:r w:rsidR="00727C3E">
        <w:rPr>
          <w:sz w:val="20"/>
          <w:lang w:val="it-IT"/>
        </w:rPr>
        <w:t xml:space="preserve">        </w:t>
      </w:r>
      <w:r w:rsidRPr="00F53B02">
        <w:rPr>
          <w:sz w:val="20"/>
          <w:lang w:val="it-IT"/>
        </w:rPr>
        <w:t>(dott.ssa Daniela Parisini)</w:t>
      </w:r>
    </w:p>
    <w:sectPr w:rsidR="00D87169" w:rsidRPr="003B7680" w:rsidSect="000F761D">
      <w:footerReference w:type="even" r:id="rId9"/>
      <w:footerReference w:type="default" r:id="rId10"/>
      <w:pgSz w:w="12240" w:h="15840"/>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D01" w:rsidRDefault="00544D01">
      <w:r>
        <w:separator/>
      </w:r>
    </w:p>
  </w:endnote>
  <w:endnote w:type="continuationSeparator" w:id="0">
    <w:p w:rsidR="00544D01" w:rsidRDefault="0054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2E" w:rsidRDefault="00EA6A56" w:rsidP="00B1413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4372E" w:rsidRDefault="00544D01" w:rsidP="00B43E3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2E" w:rsidRDefault="00EA6A56" w:rsidP="00B1413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82724">
      <w:rPr>
        <w:rStyle w:val="Numeropagina"/>
        <w:noProof/>
      </w:rPr>
      <w:t>6</w:t>
    </w:r>
    <w:r>
      <w:rPr>
        <w:rStyle w:val="Numeropagina"/>
      </w:rPr>
      <w:fldChar w:fldCharType="end"/>
    </w:r>
  </w:p>
  <w:p w:rsidR="00D4372E" w:rsidRDefault="00544D01" w:rsidP="00B43E3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D01" w:rsidRDefault="00544D01">
      <w:r>
        <w:separator/>
      </w:r>
    </w:p>
  </w:footnote>
  <w:footnote w:type="continuationSeparator" w:id="0">
    <w:p w:rsidR="00544D01" w:rsidRDefault="00544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6EED"/>
    <w:multiLevelType w:val="hybridMultilevel"/>
    <w:tmpl w:val="6966E10C"/>
    <w:lvl w:ilvl="0" w:tplc="9BC6AB5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39C441CC"/>
    <w:multiLevelType w:val="hybridMultilevel"/>
    <w:tmpl w:val="12C6B39A"/>
    <w:lvl w:ilvl="0" w:tplc="9034B6B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68369B6"/>
    <w:multiLevelType w:val="hybridMultilevel"/>
    <w:tmpl w:val="1FCA097E"/>
    <w:lvl w:ilvl="0" w:tplc="BA001926">
      <w:numFmt w:val="bullet"/>
      <w:lvlText w:val="-"/>
      <w:lvlJc w:val="left"/>
      <w:pPr>
        <w:ind w:left="644" w:hanging="360"/>
      </w:pPr>
      <w:rPr>
        <w:rFonts w:ascii="Verdana" w:eastAsia="Verdana" w:hAnsi="Verdan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80"/>
    <w:rsid w:val="00066121"/>
    <w:rsid w:val="000A234D"/>
    <w:rsid w:val="000B3677"/>
    <w:rsid w:val="000B3A93"/>
    <w:rsid w:val="0010294B"/>
    <w:rsid w:val="00125B36"/>
    <w:rsid w:val="0019451B"/>
    <w:rsid w:val="001966F3"/>
    <w:rsid w:val="001A51D3"/>
    <w:rsid w:val="001B3776"/>
    <w:rsid w:val="001C5E0E"/>
    <w:rsid w:val="001E1E52"/>
    <w:rsid w:val="00265722"/>
    <w:rsid w:val="002B4BBE"/>
    <w:rsid w:val="002D1ECC"/>
    <w:rsid w:val="00324C2B"/>
    <w:rsid w:val="003578D9"/>
    <w:rsid w:val="00362CDE"/>
    <w:rsid w:val="003B7680"/>
    <w:rsid w:val="00400C2A"/>
    <w:rsid w:val="0048286A"/>
    <w:rsid w:val="004A6DC6"/>
    <w:rsid w:val="00501710"/>
    <w:rsid w:val="00524D88"/>
    <w:rsid w:val="00534090"/>
    <w:rsid w:val="00544D01"/>
    <w:rsid w:val="005C1AC0"/>
    <w:rsid w:val="0060509C"/>
    <w:rsid w:val="006254E7"/>
    <w:rsid w:val="00655880"/>
    <w:rsid w:val="00687DA1"/>
    <w:rsid w:val="00697D23"/>
    <w:rsid w:val="006F02B3"/>
    <w:rsid w:val="00714979"/>
    <w:rsid w:val="00721EF0"/>
    <w:rsid w:val="00727C3E"/>
    <w:rsid w:val="007E5C6C"/>
    <w:rsid w:val="007E66A5"/>
    <w:rsid w:val="008348A8"/>
    <w:rsid w:val="00882653"/>
    <w:rsid w:val="00883DB7"/>
    <w:rsid w:val="008A41D3"/>
    <w:rsid w:val="008E203D"/>
    <w:rsid w:val="00945B2D"/>
    <w:rsid w:val="009832D3"/>
    <w:rsid w:val="00A24444"/>
    <w:rsid w:val="00A34A51"/>
    <w:rsid w:val="00A77F3E"/>
    <w:rsid w:val="00AC0D93"/>
    <w:rsid w:val="00AE1A0A"/>
    <w:rsid w:val="00B04DAF"/>
    <w:rsid w:val="00B23B0A"/>
    <w:rsid w:val="00C37B63"/>
    <w:rsid w:val="00CA0026"/>
    <w:rsid w:val="00CE148C"/>
    <w:rsid w:val="00DC4AD6"/>
    <w:rsid w:val="00DD10B7"/>
    <w:rsid w:val="00E87B17"/>
    <w:rsid w:val="00EA6A56"/>
    <w:rsid w:val="00EE77B5"/>
    <w:rsid w:val="00F827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7680"/>
    <w:pPr>
      <w:spacing w:after="0" w:line="240" w:lineRule="auto"/>
    </w:pPr>
    <w:rPr>
      <w:rFonts w:ascii="Verdana" w:eastAsia="Verdana" w:hAnsi="Verdana" w:cs="Times New Roman"/>
      <w:sz w:val="24"/>
      <w:szCs w:val="20"/>
      <w:lang w:val="en-US" w:eastAsia="it-IT"/>
    </w:rPr>
  </w:style>
  <w:style w:type="paragraph" w:styleId="Titolo1">
    <w:name w:val="heading 1"/>
    <w:basedOn w:val="Normale"/>
    <w:next w:val="Normale"/>
    <w:link w:val="Titolo1Carattere"/>
    <w:uiPriority w:val="9"/>
    <w:qFormat/>
    <w:rsid w:val="00524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3B7680"/>
    <w:pPr>
      <w:widowControl w:val="0"/>
      <w:autoSpaceDE w:val="0"/>
      <w:autoSpaceDN w:val="0"/>
      <w:spacing w:line="560" w:lineRule="auto"/>
      <w:jc w:val="both"/>
    </w:pPr>
    <w:rPr>
      <w:rFonts w:ascii="Tms Rmn" w:eastAsia="Times New Roman" w:hAnsi="Tms Rmn"/>
      <w:sz w:val="26"/>
      <w:szCs w:val="26"/>
      <w:lang w:val="it-IT"/>
    </w:rPr>
  </w:style>
  <w:style w:type="character" w:customStyle="1" w:styleId="CorpotestoCarattere">
    <w:name w:val="Corpo testo Carattere"/>
    <w:basedOn w:val="Carpredefinitoparagrafo"/>
    <w:link w:val="Corpotesto"/>
    <w:semiHidden/>
    <w:rsid w:val="003B7680"/>
    <w:rPr>
      <w:rFonts w:ascii="Tms Rmn" w:eastAsia="Times New Roman" w:hAnsi="Tms Rmn" w:cs="Times New Roman"/>
      <w:sz w:val="26"/>
      <w:szCs w:val="26"/>
      <w:lang w:eastAsia="it-IT"/>
    </w:rPr>
  </w:style>
  <w:style w:type="paragraph" w:styleId="Pidipagina">
    <w:name w:val="footer"/>
    <w:basedOn w:val="Normale"/>
    <w:link w:val="PidipaginaCarattere"/>
    <w:rsid w:val="003B7680"/>
    <w:pPr>
      <w:tabs>
        <w:tab w:val="center" w:pos="4819"/>
        <w:tab w:val="right" w:pos="9638"/>
      </w:tabs>
    </w:pPr>
  </w:style>
  <w:style w:type="character" w:customStyle="1" w:styleId="PidipaginaCarattere">
    <w:name w:val="Piè di pagina Carattere"/>
    <w:basedOn w:val="Carpredefinitoparagrafo"/>
    <w:link w:val="Pidipagina"/>
    <w:rsid w:val="003B7680"/>
    <w:rPr>
      <w:rFonts w:ascii="Verdana" w:eastAsia="Verdana" w:hAnsi="Verdana" w:cs="Times New Roman"/>
      <w:sz w:val="24"/>
      <w:szCs w:val="20"/>
      <w:lang w:val="en-US" w:eastAsia="it-IT"/>
    </w:rPr>
  </w:style>
  <w:style w:type="character" w:styleId="Numeropagina">
    <w:name w:val="page number"/>
    <w:basedOn w:val="Carpredefinitoparagrafo"/>
    <w:rsid w:val="003B7680"/>
  </w:style>
  <w:style w:type="paragraph" w:styleId="Paragrafoelenco">
    <w:name w:val="List Paragraph"/>
    <w:basedOn w:val="Normale"/>
    <w:uiPriority w:val="34"/>
    <w:qFormat/>
    <w:rsid w:val="003B7680"/>
    <w:pPr>
      <w:ind w:left="720"/>
      <w:contextualSpacing/>
    </w:pPr>
  </w:style>
  <w:style w:type="paragraph" w:styleId="Testofumetto">
    <w:name w:val="Balloon Text"/>
    <w:basedOn w:val="Normale"/>
    <w:link w:val="TestofumettoCarattere"/>
    <w:uiPriority w:val="99"/>
    <w:semiHidden/>
    <w:unhideWhenUsed/>
    <w:rsid w:val="006558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5880"/>
    <w:rPr>
      <w:rFonts w:ascii="Tahoma" w:eastAsia="Verdana" w:hAnsi="Tahoma" w:cs="Tahoma"/>
      <w:sz w:val="16"/>
      <w:szCs w:val="16"/>
      <w:lang w:val="en-US" w:eastAsia="it-IT"/>
    </w:rPr>
  </w:style>
  <w:style w:type="character" w:customStyle="1" w:styleId="Titolo1Carattere">
    <w:name w:val="Titolo 1 Carattere"/>
    <w:basedOn w:val="Carpredefinitoparagrafo"/>
    <w:link w:val="Titolo1"/>
    <w:uiPriority w:val="9"/>
    <w:rsid w:val="00524D88"/>
    <w:rPr>
      <w:rFonts w:asciiTheme="majorHAnsi" w:eastAsiaTheme="majorEastAsia" w:hAnsiTheme="majorHAnsi" w:cstheme="majorBidi"/>
      <w:b/>
      <w:bCs/>
      <w:color w:val="365F91" w:themeColor="accent1" w:themeShade="BF"/>
      <w:sz w:val="28"/>
      <w:szCs w:val="28"/>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7680"/>
    <w:pPr>
      <w:spacing w:after="0" w:line="240" w:lineRule="auto"/>
    </w:pPr>
    <w:rPr>
      <w:rFonts w:ascii="Verdana" w:eastAsia="Verdana" w:hAnsi="Verdana" w:cs="Times New Roman"/>
      <w:sz w:val="24"/>
      <w:szCs w:val="20"/>
      <w:lang w:val="en-US" w:eastAsia="it-IT"/>
    </w:rPr>
  </w:style>
  <w:style w:type="paragraph" w:styleId="Titolo1">
    <w:name w:val="heading 1"/>
    <w:basedOn w:val="Normale"/>
    <w:next w:val="Normale"/>
    <w:link w:val="Titolo1Carattere"/>
    <w:uiPriority w:val="9"/>
    <w:qFormat/>
    <w:rsid w:val="00524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3B7680"/>
    <w:pPr>
      <w:widowControl w:val="0"/>
      <w:autoSpaceDE w:val="0"/>
      <w:autoSpaceDN w:val="0"/>
      <w:spacing w:line="560" w:lineRule="auto"/>
      <w:jc w:val="both"/>
    </w:pPr>
    <w:rPr>
      <w:rFonts w:ascii="Tms Rmn" w:eastAsia="Times New Roman" w:hAnsi="Tms Rmn"/>
      <w:sz w:val="26"/>
      <w:szCs w:val="26"/>
      <w:lang w:val="it-IT"/>
    </w:rPr>
  </w:style>
  <w:style w:type="character" w:customStyle="1" w:styleId="CorpotestoCarattere">
    <w:name w:val="Corpo testo Carattere"/>
    <w:basedOn w:val="Carpredefinitoparagrafo"/>
    <w:link w:val="Corpotesto"/>
    <w:semiHidden/>
    <w:rsid w:val="003B7680"/>
    <w:rPr>
      <w:rFonts w:ascii="Tms Rmn" w:eastAsia="Times New Roman" w:hAnsi="Tms Rmn" w:cs="Times New Roman"/>
      <w:sz w:val="26"/>
      <w:szCs w:val="26"/>
      <w:lang w:eastAsia="it-IT"/>
    </w:rPr>
  </w:style>
  <w:style w:type="paragraph" w:styleId="Pidipagina">
    <w:name w:val="footer"/>
    <w:basedOn w:val="Normale"/>
    <w:link w:val="PidipaginaCarattere"/>
    <w:rsid w:val="003B7680"/>
    <w:pPr>
      <w:tabs>
        <w:tab w:val="center" w:pos="4819"/>
        <w:tab w:val="right" w:pos="9638"/>
      </w:tabs>
    </w:pPr>
  </w:style>
  <w:style w:type="character" w:customStyle="1" w:styleId="PidipaginaCarattere">
    <w:name w:val="Piè di pagina Carattere"/>
    <w:basedOn w:val="Carpredefinitoparagrafo"/>
    <w:link w:val="Pidipagina"/>
    <w:rsid w:val="003B7680"/>
    <w:rPr>
      <w:rFonts w:ascii="Verdana" w:eastAsia="Verdana" w:hAnsi="Verdana" w:cs="Times New Roman"/>
      <w:sz w:val="24"/>
      <w:szCs w:val="20"/>
      <w:lang w:val="en-US" w:eastAsia="it-IT"/>
    </w:rPr>
  </w:style>
  <w:style w:type="character" w:styleId="Numeropagina">
    <w:name w:val="page number"/>
    <w:basedOn w:val="Carpredefinitoparagrafo"/>
    <w:rsid w:val="003B7680"/>
  </w:style>
  <w:style w:type="paragraph" w:styleId="Paragrafoelenco">
    <w:name w:val="List Paragraph"/>
    <w:basedOn w:val="Normale"/>
    <w:uiPriority w:val="34"/>
    <w:qFormat/>
    <w:rsid w:val="003B7680"/>
    <w:pPr>
      <w:ind w:left="720"/>
      <w:contextualSpacing/>
    </w:pPr>
  </w:style>
  <w:style w:type="paragraph" w:styleId="Testofumetto">
    <w:name w:val="Balloon Text"/>
    <w:basedOn w:val="Normale"/>
    <w:link w:val="TestofumettoCarattere"/>
    <w:uiPriority w:val="99"/>
    <w:semiHidden/>
    <w:unhideWhenUsed/>
    <w:rsid w:val="006558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5880"/>
    <w:rPr>
      <w:rFonts w:ascii="Tahoma" w:eastAsia="Verdana" w:hAnsi="Tahoma" w:cs="Tahoma"/>
      <w:sz w:val="16"/>
      <w:szCs w:val="16"/>
      <w:lang w:val="en-US" w:eastAsia="it-IT"/>
    </w:rPr>
  </w:style>
  <w:style w:type="character" w:customStyle="1" w:styleId="Titolo1Carattere">
    <w:name w:val="Titolo 1 Carattere"/>
    <w:basedOn w:val="Carpredefinitoparagrafo"/>
    <w:link w:val="Titolo1"/>
    <w:uiPriority w:val="9"/>
    <w:rsid w:val="00524D88"/>
    <w:rPr>
      <w:rFonts w:asciiTheme="majorHAnsi" w:eastAsiaTheme="majorEastAsia" w:hAnsiTheme="majorHAnsi" w:cstheme="majorBidi"/>
      <w:b/>
      <w:bCs/>
      <w:color w:val="365F91" w:themeColor="accent1" w:themeShade="BF"/>
      <w:sz w:val="28"/>
      <w:szCs w:val="28"/>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1694</Words>
  <Characters>9657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Corte dei conti</Company>
  <LinksUpToDate>false</LinksUpToDate>
  <CharactersWithSpaces>11329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Molinaro Sara Raffaella</dc:creator>
  <cp:lastModifiedBy>aesanapo</cp:lastModifiedBy>
  <cp:revision>16</cp:revision>
  <cp:lastPrinted>2014-02-10T09:57:00Z</cp:lastPrinted>
  <dcterms:created xsi:type="dcterms:W3CDTF">2014-03-02T12:49:00Z</dcterms:created>
  <dcterms:modified xsi:type="dcterms:W3CDTF">2014-03-20T14:08:00Z</dcterms:modified>
</cp:coreProperties>
</file>